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1E" w:rsidRDefault="00E1690E" w:rsidP="00E16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Новоукраїнської міської об'єднаної територіальної громади </w:t>
      </w:r>
      <w:r w:rsidRPr="00E16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C735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9 місяців</w:t>
      </w:r>
      <w:r w:rsidR="00695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2019 року</w:t>
      </w:r>
    </w:p>
    <w:p w:rsidR="00804CF9" w:rsidRDefault="00804CF9" w:rsidP="00E16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690E" w:rsidRDefault="00804CF9" w:rsidP="00804CF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34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EF4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F34D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F4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ВИКОНАННЯ ДОХОДІВ</w:t>
      </w:r>
    </w:p>
    <w:p w:rsidR="00804CF9" w:rsidRDefault="00804CF9" w:rsidP="00804CF9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735E0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 w:rsidR="00695342">
        <w:rPr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року бюджет</w:t>
      </w:r>
      <w:r w:rsidR="00C50CDE">
        <w:rPr>
          <w:rFonts w:ascii="Times New Roman" w:hAnsi="Times New Roman" w:cs="Times New Roman"/>
          <w:color w:val="000000"/>
          <w:sz w:val="28"/>
          <w:szCs w:val="28"/>
        </w:rPr>
        <w:t xml:space="preserve"> громади отримав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доходів (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>враховуючи офіційні трансферти)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B3A">
        <w:rPr>
          <w:rFonts w:ascii="Times New Roman" w:hAnsi="Times New Roman" w:cs="Times New Roman"/>
          <w:color w:val="000000"/>
          <w:sz w:val="28"/>
          <w:szCs w:val="28"/>
        </w:rPr>
        <w:t>у сумі</w:t>
      </w:r>
      <w:r w:rsidR="006D77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35E0">
        <w:rPr>
          <w:rFonts w:ascii="Times New Roman" w:hAnsi="Times New Roman" w:cs="Times New Roman"/>
          <w:color w:val="000000"/>
          <w:sz w:val="28"/>
          <w:szCs w:val="28"/>
        </w:rPr>
        <w:t>117866,3</w:t>
      </w:r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90E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E1690E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D354ED">
        <w:rPr>
          <w:rFonts w:ascii="TimesNewRomanPSMT" w:hAnsi="TimesNewRomanPSMT"/>
          <w:color w:val="000000"/>
          <w:sz w:val="28"/>
          <w:szCs w:val="28"/>
        </w:rPr>
        <w:t>або 101,</w:t>
      </w:r>
      <w:r w:rsidR="00C735E0">
        <w:rPr>
          <w:rFonts w:ascii="TimesNewRomanPSMT" w:hAnsi="TimesNewRomanPSMT"/>
          <w:color w:val="000000"/>
          <w:sz w:val="28"/>
          <w:szCs w:val="28"/>
        </w:rPr>
        <w:t>4</w:t>
      </w:r>
      <w:r>
        <w:rPr>
          <w:rFonts w:ascii="TimesNewRomanPSMT" w:hAnsi="TimesNewRomanPSMT"/>
          <w:color w:val="000000"/>
          <w:sz w:val="28"/>
          <w:szCs w:val="28"/>
        </w:rPr>
        <w:t xml:space="preserve">% від уточненого планового показника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A0683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735E0">
        <w:rPr>
          <w:rFonts w:ascii="TimesNewRomanPSMT" w:hAnsi="TimesNewRomanPSMT"/>
          <w:color w:val="000000"/>
          <w:sz w:val="28"/>
          <w:szCs w:val="28"/>
        </w:rPr>
        <w:t>116209,7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з них до: 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загального фонду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A0683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22602">
        <w:rPr>
          <w:rFonts w:ascii="TimesNewRomanPSMT" w:hAnsi="TimesNewRomanPSMT"/>
          <w:color w:val="000000"/>
          <w:sz w:val="28"/>
          <w:szCs w:val="28"/>
        </w:rPr>
        <w:t>112946,6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FA38AB">
        <w:rPr>
          <w:rFonts w:ascii="TimesNewRomanPSMT" w:hAnsi="TimesNewRomanPSMT"/>
          <w:color w:val="000000"/>
          <w:sz w:val="28"/>
          <w:szCs w:val="28"/>
        </w:rPr>
        <w:t>10</w:t>
      </w:r>
      <w:r w:rsidR="00D22602">
        <w:rPr>
          <w:rFonts w:ascii="TimesNewRomanPSMT" w:hAnsi="TimesNewRomanPSMT"/>
          <w:color w:val="000000"/>
          <w:sz w:val="28"/>
          <w:szCs w:val="28"/>
        </w:rPr>
        <w:t>0,9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</w:t>
      </w:r>
      <w:r w:rsidR="00FA38AB">
        <w:rPr>
          <w:rFonts w:ascii="TimesNewRomanPSMT" w:hAnsi="TimesNewRomanPSMT"/>
          <w:color w:val="000000"/>
          <w:sz w:val="28"/>
          <w:szCs w:val="28"/>
        </w:rPr>
        <w:t xml:space="preserve">більше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D22602">
        <w:rPr>
          <w:rFonts w:ascii="TimesNewRomanPSMT" w:hAnsi="TimesNewRomanPSMT"/>
          <w:color w:val="000000"/>
          <w:sz w:val="28"/>
          <w:szCs w:val="28"/>
        </w:rPr>
        <w:t>1021,0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 w:rsidR="00D22602">
        <w:rPr>
          <w:rFonts w:ascii="TimesNewRomanPSMT" w:hAnsi="TimesNewRomanPSMT"/>
          <w:color w:val="000000"/>
          <w:sz w:val="28"/>
          <w:szCs w:val="28"/>
        </w:rPr>
        <w:t>111925,5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- спеціального фонду </w:t>
      </w:r>
      <w:r w:rsidR="00515690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="00D22602">
        <w:rPr>
          <w:rFonts w:ascii="TimesNewRomanPSMT" w:hAnsi="TimesNewRomanPSMT"/>
          <w:color w:val="000000"/>
          <w:sz w:val="28"/>
          <w:szCs w:val="28"/>
        </w:rPr>
        <w:t>4919,7</w:t>
      </w:r>
      <w:r w:rsidR="0051569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515690">
        <w:rPr>
          <w:rFonts w:ascii="TimesNewRomanPSMT" w:hAnsi="TimesNewRomanPSMT"/>
          <w:color w:val="000000"/>
          <w:sz w:val="28"/>
          <w:szCs w:val="28"/>
        </w:rPr>
        <w:t>1</w:t>
      </w:r>
      <w:r w:rsidR="00D22602">
        <w:rPr>
          <w:rFonts w:ascii="TimesNewRomanPSMT" w:hAnsi="TimesNewRomanPSMT"/>
          <w:color w:val="000000"/>
          <w:sz w:val="28"/>
          <w:szCs w:val="28"/>
        </w:rPr>
        <w:t>14,8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на </w:t>
      </w:r>
      <w:r w:rsidR="00D22602">
        <w:rPr>
          <w:rFonts w:ascii="TimesNewRomanPSMT" w:hAnsi="TimesNewRomanPSMT"/>
          <w:color w:val="000000"/>
          <w:sz w:val="28"/>
          <w:szCs w:val="28"/>
        </w:rPr>
        <w:t xml:space="preserve">        635,5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більше від уточненого планового обсягу </w:t>
      </w:r>
      <w:r w:rsidR="00515690">
        <w:rPr>
          <w:rFonts w:ascii="TimesNewRomanPSMT" w:hAnsi="TimesNewRomanPSMT"/>
          <w:color w:val="000000"/>
          <w:sz w:val="28"/>
          <w:szCs w:val="28"/>
        </w:rPr>
        <w:t>–</w:t>
      </w:r>
      <w:r w:rsidR="007106A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22602">
        <w:rPr>
          <w:rFonts w:ascii="TimesNewRomanPSMT" w:hAnsi="TimesNewRomanPSMT"/>
          <w:color w:val="000000"/>
          <w:sz w:val="28"/>
          <w:szCs w:val="28"/>
        </w:rPr>
        <w:t>4284,2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E1690E" w:rsidRDefault="00E1690E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Динаміку надходжень за</w:t>
      </w:r>
      <w:r w:rsidR="006177AD">
        <w:rPr>
          <w:rFonts w:ascii="TimesNewRomanPSMT" w:hAnsi="TimesNewRomanPSMT"/>
          <w:color w:val="000000"/>
          <w:sz w:val="28"/>
          <w:szCs w:val="28"/>
        </w:rPr>
        <w:t xml:space="preserve">гального та спеціального фондів </w:t>
      </w:r>
      <w:r>
        <w:rPr>
          <w:rFonts w:ascii="TimesNewRomanPSMT" w:hAnsi="TimesNewRomanPSMT"/>
          <w:color w:val="000000"/>
          <w:sz w:val="28"/>
          <w:szCs w:val="28"/>
        </w:rPr>
        <w:t>бюджету</w:t>
      </w:r>
      <w:r w:rsidR="006177AD">
        <w:rPr>
          <w:rFonts w:ascii="TimesNewRomanPSMT" w:hAnsi="TimesNewRomanPSMT"/>
          <w:color w:val="000000"/>
          <w:sz w:val="28"/>
          <w:szCs w:val="28"/>
        </w:rPr>
        <w:t xml:space="preserve"> ОТГ</w:t>
      </w:r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r w:rsidR="007106AB" w:rsidRPr="007106AB">
        <w:rPr>
          <w:rFonts w:ascii="TimesNewRomanPSMT" w:hAnsi="TimesNewRomanPSMT"/>
          <w:color w:val="000000"/>
          <w:sz w:val="28"/>
          <w:szCs w:val="28"/>
        </w:rPr>
        <w:t>включаючи офіційні трансферти</w:t>
      </w:r>
      <w:r>
        <w:rPr>
          <w:rFonts w:ascii="TimesNewRomanPSMT" w:hAnsi="TimesNewRomanPSMT"/>
          <w:color w:val="000000"/>
          <w:sz w:val="28"/>
          <w:szCs w:val="28"/>
        </w:rPr>
        <w:t xml:space="preserve">) за </w:t>
      </w:r>
      <w:r w:rsidR="00D22602">
        <w:rPr>
          <w:rFonts w:ascii="TimesNewRomanPSMT" w:hAnsi="TimesNewRomanPSMT"/>
          <w:color w:val="000000"/>
          <w:sz w:val="28"/>
          <w:szCs w:val="28"/>
        </w:rPr>
        <w:t>9 місяців</w:t>
      </w:r>
      <w:r w:rsidR="008B5F1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201</w:t>
      </w:r>
      <w:r w:rsidR="008B5F19">
        <w:rPr>
          <w:rFonts w:ascii="TimesNewRomanPSMT" w:hAnsi="TimesNewRomanPSMT"/>
          <w:color w:val="000000"/>
          <w:sz w:val="28"/>
          <w:szCs w:val="28"/>
        </w:rPr>
        <w:t>8 року</w:t>
      </w:r>
      <w:r w:rsidR="00274B3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61CF1">
        <w:rPr>
          <w:rFonts w:ascii="TimesNewRomanPSMT" w:hAnsi="TimesNewRomanPSMT"/>
          <w:color w:val="000000"/>
          <w:sz w:val="28"/>
          <w:szCs w:val="28"/>
        </w:rPr>
        <w:t>та</w:t>
      </w:r>
      <w:r w:rsidR="008B5F19">
        <w:rPr>
          <w:rFonts w:ascii="TimesNewRomanPSMT" w:hAnsi="TimesNewRomanPSMT"/>
          <w:color w:val="000000"/>
          <w:sz w:val="28"/>
          <w:szCs w:val="28"/>
        </w:rPr>
        <w:t xml:space="preserve"> за </w:t>
      </w:r>
      <w:r w:rsidR="00D22602">
        <w:rPr>
          <w:rFonts w:ascii="Times New Roman" w:hAnsi="Times New Roman" w:cs="Times New Roman"/>
          <w:color w:val="000000"/>
          <w:sz w:val="28"/>
          <w:szCs w:val="28"/>
        </w:rPr>
        <w:t xml:space="preserve">9 місяців </w:t>
      </w:r>
      <w:r w:rsidR="008B5F19">
        <w:rPr>
          <w:rFonts w:ascii="TimesNewRomanPSMT" w:hAnsi="TimesNewRomanPSMT"/>
          <w:color w:val="000000"/>
          <w:sz w:val="28"/>
          <w:szCs w:val="28"/>
        </w:rPr>
        <w:t>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</w:t>
      </w:r>
      <w:r w:rsidR="00061CF1">
        <w:rPr>
          <w:rFonts w:ascii="TimesNewRomanPSMT" w:hAnsi="TimesNewRomanPSMT"/>
          <w:color w:val="000000"/>
          <w:sz w:val="28"/>
          <w:szCs w:val="28"/>
        </w:rPr>
        <w:t>о</w:t>
      </w:r>
      <w:r w:rsidR="00274B3A">
        <w:rPr>
          <w:rFonts w:ascii="TimesNewRomanPSMT" w:hAnsi="TimesNewRomanPSMT"/>
          <w:color w:val="000000"/>
          <w:sz w:val="28"/>
          <w:szCs w:val="28"/>
        </w:rPr>
        <w:t>к</w:t>
      </w:r>
      <w:r w:rsidR="008B5F19">
        <w:rPr>
          <w:rFonts w:ascii="TimesNewRomanPSMT" w:hAnsi="TimesNewRomanPSMT"/>
          <w:color w:val="000000"/>
          <w:sz w:val="28"/>
          <w:szCs w:val="28"/>
        </w:rPr>
        <w:t>у</w:t>
      </w:r>
      <w:r w:rsidR="007106AB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наведено на рис.1</w:t>
      </w:r>
    </w:p>
    <w:p w:rsidR="007106AB" w:rsidRDefault="007106AB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C3E22" w:rsidRDefault="00435315" w:rsidP="00935F87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6429375" cy="48482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2982" w:rsidRDefault="00CA2982" w:rsidP="007106AB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CB11FF" w:rsidRDefault="00CB11FF" w:rsidP="00CB11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CA2982" w:rsidRPr="004E3DBD" w:rsidRDefault="00CB11FF" w:rsidP="00CB11F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звітному </w:t>
      </w:r>
      <w:r w:rsidR="00432788">
        <w:rPr>
          <w:rFonts w:ascii="TimesNewRomanPSMT" w:hAnsi="TimesNewRomanPSMT"/>
          <w:color w:val="000000"/>
          <w:sz w:val="28"/>
          <w:szCs w:val="28"/>
        </w:rPr>
        <w:t>році</w:t>
      </w:r>
      <w:r>
        <w:rPr>
          <w:rFonts w:ascii="TimesNewRomanPSMT" w:hAnsi="TimesNewRomanPSMT"/>
          <w:color w:val="000000"/>
          <w:sz w:val="28"/>
          <w:szCs w:val="28"/>
        </w:rPr>
        <w:t xml:space="preserve"> приріст надходжень бюджету </w:t>
      </w:r>
      <w:r w:rsidR="00432788">
        <w:rPr>
          <w:rFonts w:ascii="TimesNewRomanPSMT" w:hAnsi="TimesNewRomanPSMT"/>
          <w:color w:val="000000"/>
          <w:sz w:val="28"/>
          <w:szCs w:val="28"/>
        </w:rPr>
        <w:t>громади</w:t>
      </w:r>
      <w:r>
        <w:rPr>
          <w:rFonts w:ascii="TimesNewRomanPSMT" w:hAnsi="TimesNewRomanPSMT"/>
          <w:color w:val="000000"/>
          <w:sz w:val="28"/>
          <w:szCs w:val="28"/>
        </w:rPr>
        <w:t xml:space="preserve"> у порівнянні з </w:t>
      </w:r>
      <w:r w:rsidR="00660A50"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="00B75B25">
        <w:rPr>
          <w:rFonts w:ascii="TimesNewRomanPSMT" w:hAnsi="TimesNewRomanPSMT"/>
          <w:color w:val="000000"/>
          <w:sz w:val="28"/>
          <w:szCs w:val="28"/>
        </w:rPr>
        <w:t>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</w:t>
      </w:r>
      <w:r w:rsidR="00432788">
        <w:rPr>
          <w:rFonts w:ascii="TimesNewRomanPSMT" w:hAnsi="TimesNewRomanPSMT"/>
          <w:color w:val="000000"/>
          <w:sz w:val="28"/>
          <w:szCs w:val="28"/>
        </w:rPr>
        <w:t xml:space="preserve">ом </w:t>
      </w:r>
      <w:r>
        <w:rPr>
          <w:rFonts w:ascii="TimesNewRomanPSMT" w:hAnsi="TimesNewRomanPSMT"/>
          <w:color w:val="000000"/>
          <w:sz w:val="28"/>
          <w:szCs w:val="28"/>
        </w:rPr>
        <w:t xml:space="preserve">склав </w:t>
      </w:r>
      <w:r w:rsidR="006D11C3">
        <w:rPr>
          <w:rFonts w:ascii="TimesNewRomanPSMT" w:hAnsi="TimesNewRomanPSMT"/>
          <w:color w:val="000000"/>
          <w:sz w:val="28"/>
          <w:szCs w:val="28"/>
        </w:rPr>
        <w:t>16933,7</w:t>
      </w:r>
      <w:r w:rsidR="00432788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при темпі росту </w:t>
      </w:r>
      <w:r w:rsidR="00B75B25">
        <w:rPr>
          <w:rFonts w:ascii="TimesNewRomanPSMT" w:hAnsi="TimesNewRomanPSMT"/>
          <w:color w:val="000000"/>
          <w:sz w:val="28"/>
          <w:szCs w:val="28"/>
        </w:rPr>
        <w:t>1</w:t>
      </w:r>
      <w:r w:rsidR="00ED2623">
        <w:rPr>
          <w:rFonts w:ascii="TimesNewRomanPSMT" w:hAnsi="TimesNewRomanPSMT"/>
          <w:color w:val="000000"/>
          <w:sz w:val="28"/>
          <w:szCs w:val="28"/>
        </w:rPr>
        <w:t>1</w:t>
      </w:r>
      <w:r w:rsidR="006D11C3">
        <w:rPr>
          <w:rFonts w:ascii="TimesNewRomanPSMT" w:hAnsi="TimesNewRomanPSMT"/>
          <w:color w:val="000000"/>
          <w:sz w:val="28"/>
          <w:szCs w:val="28"/>
        </w:rPr>
        <w:t>6,8</w:t>
      </w:r>
      <w:r>
        <w:rPr>
          <w:rFonts w:ascii="TimesNewRomanPSMT" w:hAnsi="TimesNewRomanPSMT"/>
          <w:color w:val="000000"/>
          <w:sz w:val="28"/>
          <w:szCs w:val="28"/>
        </w:rPr>
        <w:t xml:space="preserve">%. </w:t>
      </w:r>
      <w:r w:rsidR="001A2A8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Доходи загального фонду </w:t>
      </w:r>
      <w:r w:rsidR="00B75B25">
        <w:rPr>
          <w:rFonts w:ascii="TimesNewRomanPSMT" w:hAnsi="TimesNewRomanPSMT"/>
          <w:color w:val="000000"/>
          <w:sz w:val="28"/>
          <w:szCs w:val="28"/>
        </w:rPr>
        <w:t xml:space="preserve">за </w:t>
      </w:r>
      <w:r w:rsidR="006D11C3">
        <w:rPr>
          <w:rFonts w:ascii="TimesNewRomanPSMT" w:hAnsi="TimesNewRomanPSMT"/>
          <w:color w:val="000000"/>
          <w:sz w:val="28"/>
          <w:szCs w:val="28"/>
        </w:rPr>
        <w:t xml:space="preserve">9 місяців </w:t>
      </w:r>
      <w:r w:rsidR="00B75B25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зросли на </w:t>
      </w:r>
      <w:r w:rsidR="006D11C3">
        <w:rPr>
          <w:rFonts w:ascii="TimesNewRomanPSMT" w:hAnsi="TimesNewRomanPSMT"/>
          <w:color w:val="000000"/>
          <w:sz w:val="28"/>
          <w:szCs w:val="28"/>
        </w:rPr>
        <w:t>14473,9</w:t>
      </w:r>
      <w:r w:rsidR="00B75B2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або </w:t>
      </w:r>
      <w:r w:rsidR="00ED2623">
        <w:rPr>
          <w:rFonts w:ascii="TimesNewRomanPSMT" w:hAnsi="TimesNewRomanPSMT"/>
          <w:color w:val="000000"/>
          <w:sz w:val="28"/>
          <w:szCs w:val="28"/>
        </w:rPr>
        <w:t>114,</w:t>
      </w:r>
      <w:r w:rsidR="006D11C3">
        <w:rPr>
          <w:rFonts w:ascii="TimesNewRomanPSMT" w:hAnsi="TimesNewRomanPSMT"/>
          <w:color w:val="000000"/>
          <w:sz w:val="28"/>
          <w:szCs w:val="28"/>
        </w:rPr>
        <w:t>7</w:t>
      </w:r>
      <w:r w:rsidR="00ED262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% у порівн</w:t>
      </w:r>
      <w:r w:rsidR="00B75B25">
        <w:rPr>
          <w:rFonts w:ascii="TimesNewRomanPSMT" w:hAnsi="TimesNewRomanPSMT"/>
          <w:color w:val="000000"/>
          <w:sz w:val="28"/>
          <w:szCs w:val="28"/>
        </w:rPr>
        <w:t>янні з відповідним періодом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року, за рахунок збільшення рівня мінімальної заробітної плати, </w:t>
      </w:r>
      <w:proofErr w:type="spellStart"/>
      <w:r w:rsidR="00B7239B">
        <w:rPr>
          <w:rFonts w:ascii="TimesNewRomanPSMT" w:hAnsi="TimesNewRomanPSMT"/>
          <w:color w:val="000000"/>
          <w:sz w:val="28"/>
          <w:szCs w:val="28"/>
        </w:rPr>
        <w:t>плати</w:t>
      </w:r>
      <w:proofErr w:type="spellEnd"/>
      <w:r w:rsidR="00B7239B">
        <w:rPr>
          <w:rFonts w:ascii="TimesNewRomanPSMT" w:hAnsi="TimesNewRomanPSMT"/>
          <w:color w:val="000000"/>
          <w:sz w:val="28"/>
          <w:szCs w:val="28"/>
        </w:rPr>
        <w:t xml:space="preserve"> за землю</w:t>
      </w:r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r w:rsidRPr="004E3DBD">
        <w:rPr>
          <w:rFonts w:ascii="TimesNewRomanPSMT" w:hAnsi="TimesNewRomanPSMT"/>
          <w:sz w:val="28"/>
          <w:szCs w:val="28"/>
        </w:rPr>
        <w:t>офіційних трансфертів.</w:t>
      </w:r>
    </w:p>
    <w:p w:rsidR="00AB32A9" w:rsidRDefault="00AB32A9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Доходи спеціального фонду за </w:t>
      </w:r>
      <w:r w:rsidR="003A1627">
        <w:rPr>
          <w:rFonts w:ascii="TimesNewRomanPSMT" w:hAnsi="TimesNewRomanPSMT"/>
          <w:color w:val="000000"/>
          <w:sz w:val="28"/>
          <w:szCs w:val="28"/>
        </w:rPr>
        <w:t>9 місяців</w:t>
      </w:r>
      <w:r w:rsidR="003F1AE5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</w:t>
      </w:r>
      <w:r w:rsidR="003F1AE5">
        <w:rPr>
          <w:rFonts w:ascii="TimesNewRomanPSMT" w:hAnsi="TimesNewRomanPSMT"/>
          <w:color w:val="000000"/>
          <w:sz w:val="28"/>
          <w:szCs w:val="28"/>
        </w:rPr>
        <w:t>оку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F1AE5">
        <w:rPr>
          <w:rFonts w:ascii="TimesNewRomanPSMT" w:hAnsi="TimesNewRomanPSMT"/>
          <w:color w:val="000000"/>
          <w:sz w:val="28"/>
          <w:szCs w:val="28"/>
        </w:rPr>
        <w:t>збільшились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9566BD">
        <w:rPr>
          <w:rFonts w:ascii="TimesNewRomanPSMT" w:hAnsi="TimesNewRomanPSMT"/>
          <w:color w:val="000000"/>
          <w:sz w:val="28"/>
          <w:szCs w:val="28"/>
        </w:rPr>
        <w:t xml:space="preserve">        </w:t>
      </w:r>
      <w:r w:rsidR="003A1627">
        <w:rPr>
          <w:rFonts w:ascii="TimesNewRomanPSMT" w:hAnsi="TimesNewRomanPSMT"/>
          <w:color w:val="000000"/>
          <w:sz w:val="28"/>
          <w:szCs w:val="28"/>
        </w:rPr>
        <w:t>2489,8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 w:rsidR="00660A50">
        <w:rPr>
          <w:rFonts w:ascii="TimesNewRomanPSMT" w:hAnsi="TimesNewRomanPSMT"/>
          <w:color w:val="000000"/>
          <w:sz w:val="28"/>
          <w:szCs w:val="28"/>
        </w:rPr>
        <w:t>,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або 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8D2711">
        <w:rPr>
          <w:rFonts w:ascii="TimesNewRomanPSMT" w:hAnsi="TimesNewRomanPSMT"/>
          <w:color w:val="000000"/>
          <w:sz w:val="28"/>
          <w:szCs w:val="28"/>
        </w:rPr>
        <w:t>100,0</w:t>
      </w:r>
      <w:r>
        <w:rPr>
          <w:rFonts w:ascii="TimesNewRomanPSMT" w:hAnsi="TimesNewRomanPSMT"/>
          <w:color w:val="000000"/>
          <w:sz w:val="28"/>
          <w:szCs w:val="28"/>
        </w:rPr>
        <w:t>% у порівн</w:t>
      </w:r>
      <w:r w:rsidR="005845E5">
        <w:rPr>
          <w:rFonts w:ascii="TimesNewRomanPSMT" w:hAnsi="TimesNewRomanPSMT"/>
          <w:color w:val="000000"/>
          <w:sz w:val="28"/>
          <w:szCs w:val="28"/>
        </w:rPr>
        <w:t>янні з відповідним періодом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за рахунок </w:t>
      </w:r>
      <w:r w:rsidR="006E2C59">
        <w:rPr>
          <w:rFonts w:ascii="TimesNewRomanPSMT" w:hAnsi="TimesNewRomanPSMT"/>
          <w:color w:val="000000"/>
          <w:sz w:val="28"/>
          <w:szCs w:val="28"/>
        </w:rPr>
        <w:t>з</w:t>
      </w:r>
      <w:r w:rsidR="005845E5">
        <w:rPr>
          <w:rFonts w:ascii="TimesNewRomanPSMT" w:hAnsi="TimesNewRomanPSMT"/>
          <w:color w:val="000000"/>
          <w:sz w:val="28"/>
          <w:szCs w:val="28"/>
        </w:rPr>
        <w:t>більшення</w:t>
      </w:r>
      <w:r w:rsidR="006E2C5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845E5">
        <w:rPr>
          <w:rFonts w:ascii="TimesNewRomanPSMT" w:hAnsi="TimesNewRomanPSMT"/>
          <w:color w:val="000000"/>
          <w:sz w:val="28"/>
          <w:szCs w:val="28"/>
        </w:rPr>
        <w:t xml:space="preserve">власних </w:t>
      </w:r>
      <w:r>
        <w:rPr>
          <w:rFonts w:ascii="TimesNewRomanPSMT" w:hAnsi="TimesNewRomanPSMT"/>
          <w:color w:val="000000"/>
          <w:sz w:val="28"/>
          <w:szCs w:val="28"/>
        </w:rPr>
        <w:t>надходжень</w:t>
      </w:r>
      <w:r w:rsidR="005845E5">
        <w:rPr>
          <w:rFonts w:ascii="TimesNewRomanPSMT" w:hAnsi="TimesNewRomanPSMT"/>
          <w:color w:val="000000"/>
          <w:sz w:val="28"/>
          <w:szCs w:val="28"/>
        </w:rPr>
        <w:t xml:space="preserve"> бюджетних установ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893E77" w:rsidRDefault="00893E77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За січень-</w:t>
      </w:r>
      <w:r w:rsidR="008D2711">
        <w:rPr>
          <w:rFonts w:ascii="TimesNewRomanPSMT" w:hAnsi="TimesNewRomanPSMT"/>
          <w:color w:val="000000"/>
          <w:sz w:val="28"/>
          <w:szCs w:val="28"/>
        </w:rPr>
        <w:t>вересень</w:t>
      </w:r>
      <w:r w:rsidR="00DF3B7E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дохідну частину бюджету громади за питомою вагою склали:</w:t>
      </w:r>
    </w:p>
    <w:p w:rsidR="00893E77" w:rsidRDefault="00DF3B7E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673AA9">
        <w:rPr>
          <w:rFonts w:ascii="TimesNewRomanPSMT" w:hAnsi="TimesNewRomanPSMT"/>
          <w:color w:val="000000"/>
          <w:sz w:val="28"/>
          <w:szCs w:val="28"/>
        </w:rPr>
        <w:t>60,8</w:t>
      </w:r>
      <w:r w:rsidR="00893E77" w:rsidRPr="00057B28">
        <w:rPr>
          <w:rFonts w:ascii="TimesNewRomanPSMT" w:hAnsi="TimesNewRomanPSMT"/>
          <w:sz w:val="28"/>
          <w:szCs w:val="28"/>
        </w:rPr>
        <w:t>% - податки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, збори </w:t>
      </w:r>
      <w:r>
        <w:rPr>
          <w:rFonts w:ascii="TimesNewRomanPSMT" w:hAnsi="TimesNewRomanPSMT"/>
          <w:color w:val="000000"/>
          <w:sz w:val="28"/>
          <w:szCs w:val="28"/>
        </w:rPr>
        <w:t xml:space="preserve">та інші платежі в обсязі </w:t>
      </w:r>
      <w:r w:rsidR="00673AA9">
        <w:rPr>
          <w:rFonts w:ascii="TimesNewRomanPSMT" w:hAnsi="TimesNewRomanPSMT"/>
          <w:color w:val="000000"/>
          <w:sz w:val="28"/>
          <w:szCs w:val="28"/>
        </w:rPr>
        <w:t>71691,8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893E77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893E77">
        <w:rPr>
          <w:rFonts w:ascii="TimesNewRomanPSMT" w:hAnsi="TimesNewRomanPSMT"/>
          <w:color w:val="000000"/>
          <w:sz w:val="28"/>
          <w:szCs w:val="28"/>
        </w:rPr>
        <w:t>;</w:t>
      </w:r>
    </w:p>
    <w:p w:rsidR="00893E77" w:rsidRDefault="00DF3B7E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673AA9">
        <w:rPr>
          <w:rFonts w:ascii="TimesNewRomanPSMT" w:hAnsi="TimesNewRomanPSMT"/>
          <w:color w:val="000000"/>
          <w:sz w:val="28"/>
          <w:szCs w:val="28"/>
        </w:rPr>
        <w:t>39,2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% - оф</w:t>
      </w:r>
      <w:r>
        <w:rPr>
          <w:rFonts w:ascii="TimesNewRomanPSMT" w:hAnsi="TimesNewRomanPSMT"/>
          <w:color w:val="000000"/>
          <w:sz w:val="28"/>
          <w:szCs w:val="28"/>
        </w:rPr>
        <w:t xml:space="preserve">іційні трансферти у сумі </w:t>
      </w:r>
      <w:r w:rsidR="00673AA9">
        <w:rPr>
          <w:rFonts w:ascii="TimesNewRomanPSMT" w:hAnsi="TimesNewRomanPSMT"/>
          <w:color w:val="000000"/>
          <w:sz w:val="28"/>
          <w:szCs w:val="28"/>
        </w:rPr>
        <w:t>46174,5</w:t>
      </w:r>
      <w:r w:rsidR="00893E77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893E77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893E77">
        <w:rPr>
          <w:rFonts w:ascii="TimesNewRomanPSMT" w:hAnsi="TimesNewRomanPSMT"/>
          <w:color w:val="000000"/>
          <w:sz w:val="28"/>
          <w:szCs w:val="28"/>
        </w:rPr>
        <w:t>.</w:t>
      </w:r>
    </w:p>
    <w:p w:rsidR="007E5262" w:rsidRDefault="007E5262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232D8" w:rsidRDefault="004232D8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Структурну динаміку дохідної частини  бюджету за </w:t>
      </w:r>
      <w:r w:rsidR="00714882">
        <w:rPr>
          <w:rFonts w:ascii="TimesNewRomanPSMT" w:hAnsi="TimesNewRomanPSMT"/>
          <w:color w:val="000000"/>
          <w:sz w:val="28"/>
          <w:szCs w:val="28"/>
        </w:rPr>
        <w:t>9 місяців</w:t>
      </w:r>
      <w:r w:rsidR="00A52D44">
        <w:rPr>
          <w:rFonts w:ascii="TimesNewRomanPSMT" w:hAnsi="TimesNewRomanPSMT"/>
          <w:color w:val="000000"/>
          <w:sz w:val="28"/>
          <w:szCs w:val="28"/>
        </w:rPr>
        <w:t xml:space="preserve"> 2019</w:t>
      </w:r>
      <w:r w:rsidR="00DF3B7E">
        <w:rPr>
          <w:rFonts w:ascii="TimesNewRomanPSMT" w:hAnsi="TimesNewRomanPSMT"/>
          <w:color w:val="000000"/>
          <w:sz w:val="28"/>
          <w:szCs w:val="28"/>
        </w:rPr>
        <w:t xml:space="preserve"> року</w:t>
      </w:r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r w:rsidR="00DF3B7E">
        <w:rPr>
          <w:rFonts w:ascii="TimesNewRomanPSMT" w:hAnsi="TimesNewRomanPSMT"/>
          <w:color w:val="000000"/>
          <w:sz w:val="28"/>
          <w:szCs w:val="28"/>
        </w:rPr>
        <w:t>відповідний період</w:t>
      </w:r>
      <w:r w:rsidR="007E526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52D44">
        <w:rPr>
          <w:rFonts w:ascii="TimesNewRomanPSMT" w:hAnsi="TimesNewRomanPSMT"/>
          <w:color w:val="000000"/>
          <w:sz w:val="28"/>
          <w:szCs w:val="28"/>
        </w:rPr>
        <w:t>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роки наведено у рис.2.</w:t>
      </w:r>
    </w:p>
    <w:p w:rsidR="000544DF" w:rsidRDefault="000544DF" w:rsidP="000544D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0544DF" w:rsidRDefault="00413175" w:rsidP="000151F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 wp14:anchorId="6FD7D961" wp14:editId="46BB4F15">
            <wp:extent cx="6105525" cy="5572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51F3" w:rsidRDefault="000151F3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За підсумками </w:t>
      </w:r>
      <w:r w:rsidR="003200C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26F5F">
        <w:rPr>
          <w:rFonts w:ascii="TimesNewRomanPSMT" w:hAnsi="TimesNewRomanPSMT"/>
          <w:color w:val="000000"/>
          <w:sz w:val="28"/>
          <w:szCs w:val="28"/>
        </w:rPr>
        <w:t>9 місяців</w:t>
      </w:r>
      <w:r w:rsidR="003200C7">
        <w:rPr>
          <w:rFonts w:ascii="TimesNewRomanPSMT" w:hAnsi="TimesNewRomanPSMT"/>
          <w:color w:val="000000"/>
          <w:sz w:val="28"/>
          <w:szCs w:val="28"/>
        </w:rPr>
        <w:t xml:space="preserve"> 2019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до бюджету зараховано </w:t>
      </w:r>
      <w:r w:rsidR="00826F5F">
        <w:rPr>
          <w:rFonts w:ascii="TimesNewRomanPSMT" w:hAnsi="TimesNewRomanPSMT"/>
          <w:color w:val="000000"/>
          <w:sz w:val="28"/>
          <w:szCs w:val="28"/>
        </w:rPr>
        <w:t>71691,8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5949F0">
        <w:rPr>
          <w:rFonts w:ascii="TimesNewRomanPSMT" w:hAnsi="TimesNewRomanPSMT"/>
          <w:color w:val="000000"/>
          <w:sz w:val="28"/>
          <w:szCs w:val="28"/>
        </w:rPr>
        <w:t>10</w:t>
      </w:r>
      <w:r w:rsidR="00826F5F">
        <w:rPr>
          <w:rFonts w:ascii="TimesNewRomanPSMT" w:hAnsi="TimesNewRomanPSMT"/>
          <w:color w:val="000000"/>
          <w:sz w:val="28"/>
          <w:szCs w:val="28"/>
        </w:rPr>
        <w:t>2,8</w:t>
      </w:r>
      <w:r w:rsidR="005949F0">
        <w:rPr>
          <w:rFonts w:ascii="TimesNewRomanPSMT" w:hAnsi="TimesNewRomanPSMT"/>
          <w:color w:val="000000"/>
          <w:sz w:val="28"/>
          <w:szCs w:val="28"/>
        </w:rPr>
        <w:t>%</w:t>
      </w:r>
      <w:r>
        <w:rPr>
          <w:rFonts w:ascii="TimesNewRomanPSMT" w:hAnsi="TimesNewRomanPSMT"/>
          <w:color w:val="000000"/>
          <w:sz w:val="28"/>
          <w:szCs w:val="28"/>
        </w:rPr>
        <w:t xml:space="preserve"> уточненого планового показника </w:t>
      </w:r>
      <w:r w:rsidR="00826F5F">
        <w:rPr>
          <w:rFonts w:ascii="TimesNewRomanPSMT" w:hAnsi="TimesNewRomanPSMT"/>
          <w:color w:val="000000"/>
          <w:sz w:val="28"/>
          <w:szCs w:val="28"/>
        </w:rPr>
        <w:t>69763,0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., з них:</w:t>
      </w: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до загального фонду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200C7">
        <w:rPr>
          <w:rFonts w:ascii="TimesNewRomanPSMT" w:hAnsi="TimesNewRomanPSMT"/>
          <w:color w:val="000000"/>
          <w:sz w:val="28"/>
          <w:szCs w:val="28"/>
        </w:rPr>
        <w:t>–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26F5F">
        <w:rPr>
          <w:rFonts w:ascii="TimesNewRomanPSMT" w:hAnsi="TimesNewRomanPSMT"/>
          <w:color w:val="000000"/>
          <w:sz w:val="28"/>
          <w:szCs w:val="28"/>
        </w:rPr>
        <w:t>66772,0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(</w:t>
      </w:r>
      <w:r w:rsidR="005949F0">
        <w:rPr>
          <w:rFonts w:ascii="TimesNewRomanPSMT" w:hAnsi="TimesNewRomanPSMT"/>
          <w:color w:val="000000"/>
          <w:sz w:val="28"/>
          <w:szCs w:val="28"/>
        </w:rPr>
        <w:t>10</w:t>
      </w:r>
      <w:r w:rsidR="00826F5F">
        <w:rPr>
          <w:rFonts w:ascii="TimesNewRomanPSMT" w:hAnsi="TimesNewRomanPSMT"/>
          <w:color w:val="000000"/>
          <w:sz w:val="28"/>
          <w:szCs w:val="28"/>
        </w:rPr>
        <w:t>1,6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</w:t>
      </w:r>
      <w:r w:rsidR="005949F0">
        <w:rPr>
          <w:rFonts w:ascii="TimesNewRomanPSMT" w:hAnsi="TimesNewRomanPSMT"/>
          <w:color w:val="000000"/>
          <w:sz w:val="28"/>
          <w:szCs w:val="28"/>
        </w:rPr>
        <w:t xml:space="preserve">більше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826F5F">
        <w:rPr>
          <w:rFonts w:ascii="TimesNewRomanPSMT" w:hAnsi="TimesNewRomanPSMT"/>
          <w:color w:val="000000"/>
          <w:sz w:val="28"/>
          <w:szCs w:val="28"/>
        </w:rPr>
        <w:t>1021,0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уточненого планового обсягу </w:t>
      </w:r>
      <w:r w:rsidR="00826F5F">
        <w:rPr>
          <w:rFonts w:ascii="TimesNewRomanPSMT" w:hAnsi="TimesNewRomanPSMT"/>
          <w:color w:val="000000"/>
          <w:sz w:val="28"/>
          <w:szCs w:val="28"/>
        </w:rPr>
        <w:t>65751,0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CB0876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 xml:space="preserve">до спеціального фонду </w:t>
      </w:r>
      <w:r w:rsidR="00A52D44"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="00826F5F">
        <w:rPr>
          <w:rFonts w:ascii="TimesNewRomanPSMT" w:hAnsi="TimesNewRomanPSMT"/>
          <w:color w:val="000000"/>
          <w:sz w:val="28"/>
          <w:szCs w:val="28"/>
        </w:rPr>
        <w:t>4919,7</w:t>
      </w:r>
      <w:r w:rsidR="00A2149B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 w:rsidR="00826F5F">
        <w:rPr>
          <w:rFonts w:ascii="TimesNewRomanPSMT" w:hAnsi="TimesNewRomanPSMT"/>
          <w:color w:val="000000"/>
          <w:sz w:val="28"/>
          <w:szCs w:val="28"/>
        </w:rPr>
        <w:t>122,6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більше на </w:t>
      </w:r>
      <w:r w:rsidR="00826F5F">
        <w:rPr>
          <w:rFonts w:ascii="TimesNewRomanPSMT" w:hAnsi="TimesNewRomanPSMT"/>
          <w:color w:val="000000"/>
          <w:sz w:val="28"/>
          <w:szCs w:val="28"/>
        </w:rPr>
        <w:t>907,7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 w:rsidR="00826F5F">
        <w:rPr>
          <w:rFonts w:ascii="TimesNewRomanPSMT" w:hAnsi="TimesNewRomanPSMT"/>
          <w:color w:val="000000"/>
          <w:sz w:val="28"/>
          <w:szCs w:val="28"/>
        </w:rPr>
        <w:t>4012,0</w:t>
      </w:r>
      <w:r w:rsidR="00C1191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C11910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C11910">
        <w:rPr>
          <w:rFonts w:ascii="TimesNewRomanPSMT" w:hAnsi="TimesNewRomanPSMT"/>
          <w:color w:val="000000"/>
          <w:sz w:val="28"/>
          <w:szCs w:val="28"/>
        </w:rPr>
        <w:t>.</w:t>
      </w:r>
    </w:p>
    <w:p w:rsidR="009C1132" w:rsidRDefault="009C1132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Надходження офіційних трансфертів в звітному періоді становили 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   </w:t>
      </w:r>
      <w:r w:rsidR="004C4319">
        <w:rPr>
          <w:rFonts w:ascii="TimesNewRomanPSMT" w:hAnsi="TimesNewRomanPSMT"/>
          <w:color w:val="000000"/>
          <w:sz w:val="28"/>
          <w:szCs w:val="28"/>
        </w:rPr>
        <w:t>46174,5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або </w:t>
      </w:r>
      <w:r w:rsidR="004C4319">
        <w:rPr>
          <w:rFonts w:ascii="TimesNewRomanPSMT" w:hAnsi="TimesNewRomanPSMT"/>
          <w:color w:val="000000"/>
          <w:sz w:val="28"/>
          <w:szCs w:val="28"/>
        </w:rPr>
        <w:t>99,4</w:t>
      </w:r>
      <w:r>
        <w:rPr>
          <w:rFonts w:ascii="TimesNewRomanPSMT" w:hAnsi="TimesNewRomanPSMT"/>
          <w:color w:val="000000"/>
          <w:sz w:val="28"/>
          <w:szCs w:val="28"/>
        </w:rPr>
        <w:t xml:space="preserve"> % уточненого планового обсягу, та на </w:t>
      </w:r>
      <w:r w:rsidR="004C4319">
        <w:rPr>
          <w:rFonts w:ascii="TimesNewRomanPSMT" w:hAnsi="TimesNewRomanPSMT"/>
          <w:color w:val="000000"/>
          <w:sz w:val="28"/>
          <w:szCs w:val="28"/>
        </w:rPr>
        <w:t xml:space="preserve">2435,2 </w:t>
      </w:r>
      <w:proofErr w:type="spellStart"/>
      <w:r w:rsidR="006C2BD1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6C2BD1">
        <w:rPr>
          <w:rFonts w:ascii="TimesNewRomanPSMT" w:hAnsi="TimesNewRomanPSMT"/>
          <w:color w:val="000000"/>
          <w:sz w:val="28"/>
          <w:szCs w:val="28"/>
        </w:rPr>
        <w:t>. більше за відповідний період 2018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року.</w:t>
      </w:r>
    </w:p>
    <w:p w:rsidR="00892BD6" w:rsidRDefault="00892BD6" w:rsidP="009C1132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Структура бюджету громади за 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C4319">
        <w:rPr>
          <w:rFonts w:ascii="TimesNewRomanPSMT" w:hAnsi="TimesNewRomanPSMT"/>
          <w:color w:val="000000"/>
          <w:sz w:val="28"/>
          <w:szCs w:val="28"/>
        </w:rPr>
        <w:t>9 місяців</w:t>
      </w:r>
      <w:r w:rsidR="006C2BD1">
        <w:rPr>
          <w:rFonts w:ascii="TimesNewRomanPSMT" w:hAnsi="TimesNewRomanPSMT"/>
          <w:color w:val="000000"/>
          <w:sz w:val="28"/>
          <w:szCs w:val="28"/>
        </w:rPr>
        <w:t xml:space="preserve"> 2019 року</w:t>
      </w:r>
      <w:r>
        <w:rPr>
          <w:rFonts w:ascii="TimesNewRomanPSMT" w:hAnsi="TimesNewRomanPSMT"/>
          <w:color w:val="000000"/>
          <w:sz w:val="28"/>
          <w:szCs w:val="28"/>
        </w:rPr>
        <w:t xml:space="preserve"> за основними джерелами доходів характеризується даними, наведеними у </w:t>
      </w:r>
      <w:r w:rsidR="00785C0F">
        <w:rPr>
          <w:rFonts w:ascii="TimesNewRomanPSMT" w:hAnsi="TimesNewRomanPSMT"/>
          <w:color w:val="000000"/>
          <w:sz w:val="28"/>
          <w:szCs w:val="28"/>
        </w:rPr>
        <w:t>рис.3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CB0876" w:rsidRDefault="00CB0876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92BD6" w:rsidRPr="00493C47" w:rsidRDefault="00785C0F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>Рис</w:t>
      </w:r>
      <w:r w:rsidR="00892BD6"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3. </w:t>
      </w:r>
      <w:r w:rsidR="00892BD6"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Структура дохідної частини  бюджету </w:t>
      </w:r>
    </w:p>
    <w:p w:rsidR="0070451E" w:rsidRDefault="00C11910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 w:rsidR="00892BD6"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4C4319">
        <w:rPr>
          <w:rFonts w:ascii="TimesNewRomanPS-BoldMT" w:hAnsi="TimesNewRomanPS-BoldMT"/>
          <w:b/>
          <w:bCs/>
          <w:color w:val="000000"/>
          <w:sz w:val="28"/>
          <w:szCs w:val="28"/>
        </w:rPr>
        <w:t>9 місяців</w:t>
      </w: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2019 років</w:t>
      </w:r>
    </w:p>
    <w:p w:rsidR="00C501E5" w:rsidRDefault="00C501E5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C6F39" w:rsidRDefault="00F53649" w:rsidP="00F5364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F53649">
        <w:rPr>
          <w:rFonts w:ascii="TimesNewRomanPS-BoldMT" w:hAnsi="TimesNewRomanPS-BoldMT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12B36AF5" wp14:editId="081AE2F8">
            <wp:extent cx="6286500" cy="4705350"/>
            <wp:effectExtent l="57150" t="57150" r="38100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01E5" w:rsidRDefault="00C501E5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C501E5" w:rsidRDefault="00C501E5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554FD" w:rsidRPr="005554FD" w:rsidRDefault="006177AD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 загального фонду 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>бюджету</w:t>
      </w:r>
      <w:r>
        <w:rPr>
          <w:rFonts w:ascii="TimesNewRomanPSMT" w:hAnsi="TimesNewRomanPSMT"/>
          <w:color w:val="000000"/>
          <w:sz w:val="28"/>
          <w:szCs w:val="28"/>
        </w:rPr>
        <w:t xml:space="preserve"> громади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надійшло власних доходів у сумі                  </w:t>
      </w:r>
      <w:r w:rsidR="00716FA3">
        <w:rPr>
          <w:rFonts w:ascii="TimesNewRomanPSMT" w:hAnsi="TimesNewRomanPSMT"/>
          <w:color w:val="000000"/>
          <w:sz w:val="28"/>
          <w:szCs w:val="28"/>
        </w:rPr>
        <w:t>66772,0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5554FD"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., або </w:t>
      </w:r>
      <w:r w:rsidR="0091039F">
        <w:rPr>
          <w:rFonts w:ascii="TimesNewRomanPSMT" w:hAnsi="TimesNewRomanPSMT"/>
          <w:color w:val="000000"/>
          <w:sz w:val="28"/>
          <w:szCs w:val="28"/>
        </w:rPr>
        <w:t>10</w:t>
      </w:r>
      <w:r w:rsidR="00716FA3">
        <w:rPr>
          <w:rFonts w:ascii="TimesNewRomanPSMT" w:hAnsi="TimesNewRomanPSMT"/>
          <w:color w:val="000000"/>
          <w:sz w:val="28"/>
          <w:szCs w:val="28"/>
        </w:rPr>
        <w:t>1,6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% до затвердженого плану з урахуванням змін на </w:t>
      </w:r>
      <w:r w:rsidR="00716FA3">
        <w:rPr>
          <w:rFonts w:ascii="TimesNewRomanPSMT" w:hAnsi="TimesNewRomanPSMT"/>
          <w:color w:val="000000"/>
          <w:sz w:val="28"/>
          <w:szCs w:val="28"/>
        </w:rPr>
        <w:t xml:space="preserve">9 місяців </w:t>
      </w:r>
      <w:r w:rsidR="006651DC">
        <w:rPr>
          <w:rFonts w:ascii="TimesNewRomanPSMT" w:hAnsi="TimesNewRomanPSMT"/>
          <w:color w:val="000000"/>
          <w:sz w:val="28"/>
          <w:szCs w:val="28"/>
        </w:rPr>
        <w:t>2019 року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 Темп росту доходів порівняно з відповідним періодом минулого року склав </w:t>
      </w:r>
      <w:r w:rsidR="005554FD">
        <w:rPr>
          <w:rFonts w:ascii="TimesNewRomanPSMT" w:hAnsi="TimesNewRomanPSMT"/>
          <w:color w:val="000000"/>
          <w:sz w:val="28"/>
          <w:szCs w:val="28"/>
        </w:rPr>
        <w:t>1</w:t>
      </w:r>
      <w:r w:rsidR="00716FA3">
        <w:rPr>
          <w:rFonts w:ascii="TimesNewRomanPSMT" w:hAnsi="TimesNewRomanPSMT"/>
          <w:color w:val="000000"/>
          <w:sz w:val="28"/>
          <w:szCs w:val="28"/>
        </w:rPr>
        <w:t>20,8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>%  (+</w:t>
      </w:r>
      <w:r w:rsidR="00716FA3">
        <w:rPr>
          <w:rFonts w:ascii="TimesNewRomanPSMT" w:hAnsi="TimesNewRomanPSMT"/>
          <w:color w:val="000000"/>
          <w:sz w:val="28"/>
          <w:szCs w:val="28"/>
        </w:rPr>
        <w:t>11501,6</w:t>
      </w:r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5554FD"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5554FD" w:rsidRPr="005554FD">
        <w:rPr>
          <w:rFonts w:ascii="TimesNewRomanPSMT" w:hAnsi="TimesNewRomanPSMT"/>
          <w:color w:val="000000"/>
          <w:sz w:val="28"/>
          <w:szCs w:val="28"/>
        </w:rPr>
        <w:t xml:space="preserve">.). </w:t>
      </w:r>
    </w:p>
    <w:p w:rsidR="005554FD" w:rsidRDefault="005554FD" w:rsidP="00CD6885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554FD">
        <w:rPr>
          <w:rFonts w:ascii="TimesNewRomanPSMT" w:hAnsi="TimesNewRomanPSMT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 w:rsidR="00A76685">
        <w:rPr>
          <w:rFonts w:ascii="TimesNewRomanPSMT" w:hAnsi="TimesNewRomanPSMT"/>
          <w:color w:val="000000"/>
          <w:sz w:val="28"/>
          <w:szCs w:val="28"/>
        </w:rPr>
        <w:t>5</w:t>
      </w:r>
      <w:r w:rsidR="00D10E4D">
        <w:rPr>
          <w:rFonts w:ascii="TimesNewRomanPSMT" w:hAnsi="TimesNewRomanPSMT"/>
          <w:color w:val="000000"/>
          <w:sz w:val="28"/>
          <w:szCs w:val="28"/>
          <w:lang w:val="ru-RU"/>
        </w:rPr>
        <w:t>3,9</w:t>
      </w:r>
      <w:r w:rsidRPr="005554FD">
        <w:rPr>
          <w:rFonts w:ascii="TimesNewRomanPSMT" w:hAnsi="TimesNewRomanPSMT"/>
          <w:color w:val="000000"/>
          <w:sz w:val="28"/>
          <w:szCs w:val="28"/>
        </w:rPr>
        <w:t>%), плата за землю (</w:t>
      </w:r>
      <w:r w:rsidR="00D10E4D">
        <w:rPr>
          <w:rFonts w:ascii="TimesNewRomanPSMT" w:hAnsi="TimesNewRomanPSMT"/>
          <w:color w:val="000000"/>
          <w:sz w:val="28"/>
          <w:szCs w:val="28"/>
          <w:lang w:val="ru-RU"/>
        </w:rPr>
        <w:t>21,0</w:t>
      </w:r>
      <w:r w:rsidRPr="005554FD">
        <w:rPr>
          <w:rFonts w:ascii="TimesNewRomanPSMT" w:hAnsi="TimesNewRomanPSMT"/>
          <w:color w:val="000000"/>
          <w:sz w:val="28"/>
          <w:szCs w:val="28"/>
        </w:rPr>
        <w:t>%), єдиний податок (</w:t>
      </w:r>
      <w:r w:rsidR="00D10E4D">
        <w:rPr>
          <w:rFonts w:ascii="TimesNewRomanPSMT" w:hAnsi="TimesNewRomanPSMT"/>
          <w:color w:val="000000"/>
          <w:sz w:val="28"/>
          <w:szCs w:val="28"/>
        </w:rPr>
        <w:t>13,6</w:t>
      </w:r>
      <w:r w:rsidRPr="005554FD">
        <w:rPr>
          <w:rFonts w:ascii="TimesNewRomanPSMT" w:hAnsi="TimesNewRomanPSMT"/>
          <w:color w:val="000000"/>
          <w:sz w:val="28"/>
          <w:szCs w:val="28"/>
        </w:rPr>
        <w:t>%).</w:t>
      </w:r>
    </w:p>
    <w:p w:rsidR="00CB0876" w:rsidRDefault="00CB0876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06F" w:rsidRPr="00FA6059" w:rsidRDefault="00FA6059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A60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A9228A" w:rsidRDefault="005554FD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554FD">
        <w:rPr>
          <w:rFonts w:ascii="TimesNewRomanPSMT" w:hAnsi="TimesNewRomanPSMT"/>
          <w:color w:val="000000"/>
          <w:sz w:val="28"/>
          <w:szCs w:val="28"/>
        </w:rPr>
        <w:t>По податку на доходи фізичних осіб при уточненому плані на</w:t>
      </w:r>
      <w:r w:rsidR="0091039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10E4D">
        <w:rPr>
          <w:rFonts w:ascii="TimesNewRomanPSMT" w:hAnsi="TimesNewRomanPSMT"/>
          <w:color w:val="000000"/>
          <w:sz w:val="28"/>
          <w:szCs w:val="28"/>
        </w:rPr>
        <w:t xml:space="preserve">9 місяців </w:t>
      </w:r>
      <w:r w:rsidR="00024E91">
        <w:rPr>
          <w:rFonts w:ascii="TimesNewRomanPSMT" w:hAnsi="TimesNewRomanPSMT"/>
          <w:color w:val="000000"/>
          <w:sz w:val="28"/>
          <w:szCs w:val="28"/>
        </w:rPr>
        <w:t>2019 року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10E4D">
        <w:rPr>
          <w:rFonts w:ascii="TimesNewRomanPSMT" w:hAnsi="TimesNewRomanPSMT"/>
          <w:color w:val="000000"/>
          <w:sz w:val="28"/>
          <w:szCs w:val="28"/>
        </w:rPr>
        <w:t>36640,6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CD6885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CD6885">
        <w:rPr>
          <w:rFonts w:ascii="TimesNewRomanPSMT" w:hAnsi="TimesNewRomanPSMT"/>
          <w:color w:val="000000"/>
          <w:sz w:val="28"/>
          <w:szCs w:val="28"/>
        </w:rPr>
        <w:t xml:space="preserve">. фактично надійшло </w:t>
      </w:r>
      <w:r w:rsidR="00D10E4D">
        <w:rPr>
          <w:rFonts w:ascii="TimesNewRomanPSMT" w:hAnsi="TimesNewRomanPSMT"/>
          <w:color w:val="000000"/>
          <w:sz w:val="28"/>
          <w:szCs w:val="28"/>
        </w:rPr>
        <w:t>36052,7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CD6885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CD6885">
        <w:rPr>
          <w:rFonts w:ascii="TimesNewRomanPSMT" w:hAnsi="TimesNewRomanPSMT"/>
          <w:color w:val="000000"/>
          <w:sz w:val="28"/>
          <w:szCs w:val="28"/>
        </w:rPr>
        <w:t xml:space="preserve">., що становить </w:t>
      </w:r>
      <w:r w:rsidR="004F5277">
        <w:rPr>
          <w:rFonts w:ascii="TimesNewRomanPSMT" w:hAnsi="TimesNewRomanPSMT"/>
          <w:color w:val="000000"/>
          <w:sz w:val="28"/>
          <w:szCs w:val="28"/>
        </w:rPr>
        <w:t>98,4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%. Темп росту у порівнянні з аналогічним періодом минулого року становить </w:t>
      </w:r>
      <w:r w:rsidR="00024E91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Pr="00CD6885">
        <w:rPr>
          <w:rFonts w:ascii="TimesNewRomanPSMT" w:hAnsi="TimesNewRomanPSMT"/>
          <w:color w:val="000000"/>
          <w:sz w:val="28"/>
          <w:szCs w:val="28"/>
        </w:rPr>
        <w:t>+</w:t>
      </w:r>
      <w:r w:rsidR="0091039F">
        <w:rPr>
          <w:rFonts w:ascii="TimesNewRomanPSMT" w:hAnsi="TimesNewRomanPSMT"/>
          <w:color w:val="000000"/>
          <w:sz w:val="28"/>
          <w:szCs w:val="28"/>
        </w:rPr>
        <w:t>1</w:t>
      </w:r>
      <w:r w:rsidR="004F5277">
        <w:rPr>
          <w:rFonts w:ascii="TimesNewRomanPSMT" w:hAnsi="TimesNewRomanPSMT"/>
          <w:color w:val="000000"/>
          <w:sz w:val="28"/>
          <w:szCs w:val="28"/>
        </w:rPr>
        <w:t>2,9</w:t>
      </w:r>
      <w:r w:rsidR="00024E9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% (збільшився на </w:t>
      </w:r>
      <w:r w:rsidR="004F5277">
        <w:rPr>
          <w:rFonts w:ascii="TimesNewRomanPSMT" w:hAnsi="TimesNewRomanPSMT"/>
          <w:color w:val="000000"/>
          <w:sz w:val="28"/>
          <w:szCs w:val="28"/>
        </w:rPr>
        <w:t>4126,4</w:t>
      </w:r>
      <w:r w:rsidR="0091039F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A9228A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A9228A">
        <w:rPr>
          <w:rFonts w:ascii="TimesNewRomanPSMT" w:hAnsi="TimesNewRomanPSMT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A9228A" w:rsidRDefault="00A9228A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зростання мінімальної заробітної плати до </w:t>
      </w:r>
      <w:r w:rsidR="00024E91">
        <w:rPr>
          <w:rFonts w:ascii="TimesNewRomanPSMT" w:hAnsi="TimesNewRomanPSMT"/>
          <w:color w:val="000000"/>
          <w:sz w:val="28"/>
          <w:szCs w:val="28"/>
        </w:rPr>
        <w:t>4173</w:t>
      </w:r>
      <w:r w:rsidR="00EE6A38">
        <w:rPr>
          <w:rFonts w:ascii="TimesNewRomanPSMT" w:hAnsi="TimesNewRomanPSMT"/>
          <w:color w:val="000000"/>
          <w:sz w:val="28"/>
          <w:szCs w:val="28"/>
        </w:rPr>
        <w:t>,0 грн.</w:t>
      </w:r>
      <w:r w:rsidR="00CB0876">
        <w:rPr>
          <w:rFonts w:ascii="TimesNewRomanPSMT" w:hAnsi="TimesNewRomanPSMT"/>
          <w:color w:val="000000"/>
          <w:sz w:val="28"/>
          <w:szCs w:val="28"/>
        </w:rPr>
        <w:t>, наведено на рис.4.</w:t>
      </w:r>
    </w:p>
    <w:p w:rsidR="00BA3609" w:rsidRDefault="00CE41F8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486400" cy="3200400"/>
            <wp:effectExtent l="57150" t="0" r="76200" b="5715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0451E" w:rsidRDefault="0070451E" w:rsidP="00841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451E" w:rsidRDefault="00841CAA" w:rsidP="007F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="0096244E" w:rsidRPr="00AD47F1">
        <w:rPr>
          <w:rFonts w:ascii="Times New Roman" w:hAnsi="Times New Roman" w:cs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 w:cs="Times New Roman"/>
          <w:color w:val="000000"/>
          <w:sz w:val="28"/>
          <w:szCs w:val="28"/>
        </w:rPr>
        <w:t xml:space="preserve"> до бюджету в сумі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D59">
        <w:rPr>
          <w:rFonts w:ascii="Times New Roman" w:hAnsi="Times New Roman" w:cs="Times New Roman"/>
          <w:color w:val="000000"/>
          <w:sz w:val="28"/>
          <w:szCs w:val="28"/>
        </w:rPr>
        <w:t>925,7</w:t>
      </w:r>
      <w:r w:rsidRPr="00841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1CA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47F1">
        <w:rPr>
          <w:rFonts w:ascii="Times New Roman" w:hAnsi="Times New Roman" w:cs="Times New Roman"/>
          <w:color w:val="000000"/>
          <w:sz w:val="28"/>
          <w:szCs w:val="28"/>
        </w:rPr>
        <w:t>, що на</w:t>
      </w:r>
      <w:r w:rsidR="006734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045">
        <w:rPr>
          <w:rFonts w:ascii="Times New Roman" w:hAnsi="Times New Roman" w:cs="Times New Roman"/>
          <w:color w:val="000000"/>
          <w:sz w:val="28"/>
          <w:szCs w:val="28"/>
        </w:rPr>
        <w:t>795,8</w:t>
      </w:r>
      <w:r w:rsidR="00AD4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D47F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AD47F1">
        <w:rPr>
          <w:rFonts w:ascii="Times New Roman" w:hAnsi="Times New Roman" w:cs="Times New Roman"/>
          <w:color w:val="000000"/>
          <w:sz w:val="28"/>
          <w:szCs w:val="28"/>
        </w:rPr>
        <w:t>. більше ніж за аналогічний період 2018 року.</w:t>
      </w:r>
    </w:p>
    <w:p w:rsidR="00841CAA" w:rsidRDefault="00841CAA" w:rsidP="00841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C20D6B" w:rsidRPr="00841CAA">
        <w:rPr>
          <w:rFonts w:ascii="Times New Roman" w:hAnsi="Times New Roman" w:cs="Times New Roman"/>
          <w:b/>
          <w:sz w:val="28"/>
          <w:szCs w:val="28"/>
          <w:u w:val="single"/>
        </w:rPr>
        <w:t>лат</w:t>
      </w:r>
      <w:r w:rsidRPr="00841CA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20D6B" w:rsidRPr="00841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землю</w:t>
      </w:r>
    </w:p>
    <w:p w:rsidR="00A80210" w:rsidRPr="00FE670E" w:rsidRDefault="00841CAA" w:rsidP="00051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и плані на </w:t>
      </w:r>
      <w:r w:rsidR="00060045">
        <w:rPr>
          <w:rFonts w:ascii="Times New Roman" w:hAnsi="Times New Roman" w:cs="Times New Roman"/>
          <w:sz w:val="28"/>
          <w:szCs w:val="28"/>
        </w:rPr>
        <w:t>9 місяців</w:t>
      </w:r>
      <w:r w:rsidR="00AD47F1">
        <w:rPr>
          <w:rFonts w:ascii="Times New Roman" w:hAnsi="Times New Roman" w:cs="Times New Roman"/>
          <w:sz w:val="28"/>
          <w:szCs w:val="28"/>
        </w:rPr>
        <w:t xml:space="preserve"> 2019 року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 </w:t>
      </w:r>
      <w:r w:rsidR="00296310">
        <w:rPr>
          <w:rFonts w:ascii="Times New Roman" w:hAnsi="Times New Roman" w:cs="Times New Roman"/>
          <w:sz w:val="28"/>
          <w:szCs w:val="28"/>
        </w:rPr>
        <w:t xml:space="preserve"> </w:t>
      </w:r>
      <w:r w:rsidR="00060045">
        <w:rPr>
          <w:rFonts w:ascii="Times New Roman" w:hAnsi="Times New Roman" w:cs="Times New Roman"/>
          <w:sz w:val="28"/>
          <w:szCs w:val="28"/>
        </w:rPr>
        <w:t>13850,3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тис.грн. фактично надійшло </w:t>
      </w:r>
      <w:r w:rsidR="00AD47F1">
        <w:rPr>
          <w:rFonts w:ascii="Times New Roman" w:hAnsi="Times New Roman" w:cs="Times New Roman"/>
          <w:sz w:val="28"/>
          <w:szCs w:val="28"/>
        </w:rPr>
        <w:t xml:space="preserve"> </w:t>
      </w:r>
      <w:r w:rsidR="00060045">
        <w:rPr>
          <w:rFonts w:ascii="Times New Roman" w:hAnsi="Times New Roman" w:cs="Times New Roman"/>
          <w:sz w:val="28"/>
          <w:szCs w:val="28"/>
        </w:rPr>
        <w:t>14625,6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D6B"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0D6B" w:rsidRPr="00FE670E">
        <w:rPr>
          <w:rFonts w:ascii="Times New Roman" w:hAnsi="Times New Roman" w:cs="Times New Roman"/>
          <w:sz w:val="28"/>
          <w:szCs w:val="28"/>
        </w:rPr>
        <w:t xml:space="preserve">., що становить </w:t>
      </w:r>
      <w:r w:rsidR="009F122C" w:rsidRPr="00FE670E">
        <w:rPr>
          <w:rFonts w:ascii="Times New Roman" w:hAnsi="Times New Roman" w:cs="Times New Roman"/>
          <w:sz w:val="28"/>
          <w:szCs w:val="28"/>
        </w:rPr>
        <w:t>1</w:t>
      </w:r>
      <w:r w:rsidR="00F939AF">
        <w:rPr>
          <w:rFonts w:ascii="Times New Roman" w:hAnsi="Times New Roman" w:cs="Times New Roman"/>
          <w:sz w:val="28"/>
          <w:szCs w:val="28"/>
        </w:rPr>
        <w:t>05,6</w:t>
      </w:r>
      <w:r w:rsidR="00CB0876">
        <w:rPr>
          <w:rFonts w:ascii="Times New Roman" w:hAnsi="Times New Roman" w:cs="Times New Roman"/>
          <w:sz w:val="28"/>
          <w:szCs w:val="28"/>
        </w:rPr>
        <w:t xml:space="preserve"> </w:t>
      </w:r>
      <w:r w:rsidR="00C20D6B" w:rsidRPr="00FE670E">
        <w:rPr>
          <w:rFonts w:ascii="Times New Roman" w:hAnsi="Times New Roman" w:cs="Times New Roman"/>
          <w:sz w:val="28"/>
          <w:szCs w:val="28"/>
        </w:rPr>
        <w:t xml:space="preserve">%. Темп росту у  порівнянні з </w:t>
      </w:r>
      <w:r w:rsidR="00C20D6B" w:rsidRPr="00FE670E">
        <w:rPr>
          <w:rFonts w:ascii="Times New Roman" w:hAnsi="Times New Roman" w:cs="Times New Roman"/>
          <w:bCs/>
          <w:sz w:val="28"/>
          <w:szCs w:val="28"/>
        </w:rPr>
        <w:t xml:space="preserve">аналогічним періодом минулого року </w:t>
      </w:r>
      <w:r w:rsidR="00731C33">
        <w:rPr>
          <w:rFonts w:ascii="Times New Roman" w:hAnsi="Times New Roman" w:cs="Times New Roman"/>
          <w:bCs/>
          <w:sz w:val="28"/>
          <w:szCs w:val="28"/>
        </w:rPr>
        <w:t xml:space="preserve">становить </w:t>
      </w:r>
      <w:r w:rsidR="00CB0876">
        <w:rPr>
          <w:rFonts w:ascii="Times New Roman" w:hAnsi="Times New Roman" w:cs="Times New Roman"/>
          <w:bCs/>
          <w:sz w:val="28"/>
          <w:szCs w:val="28"/>
        </w:rPr>
        <w:t>+</w:t>
      </w:r>
      <w:r w:rsidR="00CB1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39AF">
        <w:rPr>
          <w:rFonts w:ascii="Times New Roman" w:hAnsi="Times New Roman" w:cs="Times New Roman"/>
          <w:bCs/>
          <w:sz w:val="28"/>
          <w:szCs w:val="28"/>
        </w:rPr>
        <w:t xml:space="preserve">5422,4 </w:t>
      </w:r>
      <w:proofErr w:type="spellStart"/>
      <w:r w:rsidR="00F939AF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F939AF">
        <w:rPr>
          <w:rFonts w:ascii="Times New Roman" w:hAnsi="Times New Roman" w:cs="Times New Roman"/>
          <w:bCs/>
          <w:sz w:val="28"/>
          <w:szCs w:val="28"/>
        </w:rPr>
        <w:t>.</w:t>
      </w:r>
      <w:r w:rsidR="00731C33">
        <w:rPr>
          <w:rFonts w:ascii="Times New Roman" w:hAnsi="Times New Roman" w:cs="Times New Roman"/>
          <w:bCs/>
          <w:sz w:val="28"/>
          <w:szCs w:val="28"/>
        </w:rPr>
        <w:t xml:space="preserve"> або 1</w:t>
      </w:r>
      <w:r w:rsidR="00F939AF">
        <w:rPr>
          <w:rFonts w:ascii="Times New Roman" w:hAnsi="Times New Roman" w:cs="Times New Roman"/>
          <w:bCs/>
          <w:sz w:val="28"/>
          <w:szCs w:val="28"/>
        </w:rPr>
        <w:t>58,9</w:t>
      </w:r>
      <w:r w:rsidR="00731C33">
        <w:rPr>
          <w:rFonts w:ascii="Times New Roman" w:hAnsi="Times New Roman" w:cs="Times New Roman"/>
          <w:bCs/>
          <w:sz w:val="28"/>
          <w:szCs w:val="28"/>
        </w:rPr>
        <w:t>%</w:t>
      </w:r>
      <w:r w:rsidR="00C20D6B" w:rsidRPr="00FE67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C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80210" w:rsidRDefault="00A80210" w:rsidP="00B668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динаміки надходжень плати за землю </w:t>
      </w:r>
      <w:r w:rsidR="00A074E7"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у розрізі платежів </w:t>
      </w:r>
      <w:r w:rsidR="00296310">
        <w:rPr>
          <w:rFonts w:ascii="Times New Roman" w:hAnsi="Times New Roman" w:cs="Times New Roman"/>
          <w:color w:val="000000"/>
          <w:sz w:val="28"/>
          <w:szCs w:val="28"/>
        </w:rPr>
        <w:t xml:space="preserve">за           </w:t>
      </w:r>
      <w:r w:rsidR="00EE6A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876">
        <w:rPr>
          <w:rFonts w:ascii="Times New Roman" w:hAnsi="Times New Roman" w:cs="Times New Roman"/>
          <w:color w:val="000000"/>
          <w:sz w:val="28"/>
          <w:szCs w:val="28"/>
        </w:rPr>
        <w:t>І півріччя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 xml:space="preserve"> 2019 року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 характ</w:t>
      </w:r>
      <w:r w:rsidR="00CB0876">
        <w:rPr>
          <w:rFonts w:ascii="Times New Roman" w:hAnsi="Times New Roman" w:cs="Times New Roman"/>
          <w:color w:val="000000"/>
          <w:sz w:val="28"/>
          <w:szCs w:val="28"/>
        </w:rPr>
        <w:t>еризується даними, наведеними на рис.5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3A8A" w:rsidRDefault="00313A8A" w:rsidP="00B6687D">
      <w:pPr>
        <w:spacing w:after="0" w:line="240" w:lineRule="auto"/>
        <w:ind w:firstLine="709"/>
        <w:jc w:val="both"/>
        <w:rPr>
          <w:rFonts w:eastAsia="MS Mincho"/>
          <w:b/>
          <w:i/>
          <w:sz w:val="28"/>
          <w:szCs w:val="28"/>
        </w:rPr>
      </w:pPr>
    </w:p>
    <w:p w:rsidR="00CB0876" w:rsidRDefault="009A6042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162675" cy="1647825"/>
            <wp:effectExtent l="76200" t="57150" r="66675" b="47625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27559" w:rsidRDefault="00C27559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A17322" w:rsidRDefault="00B6687D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 wp14:anchorId="6CEBF769" wp14:editId="337F6477">
            <wp:extent cx="6162675" cy="1571625"/>
            <wp:effectExtent l="76200" t="57150" r="66675" b="47625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A17322" w:rsidRDefault="00313A8A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 wp14:anchorId="645E7781" wp14:editId="171B6F79">
            <wp:extent cx="6162675" cy="1514475"/>
            <wp:effectExtent l="76200" t="57150" r="66675" b="47625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C27559" w:rsidRDefault="00C27559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A17322" w:rsidRDefault="00313A8A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 wp14:anchorId="645E7781" wp14:editId="171B6F79">
            <wp:extent cx="6162675" cy="1590675"/>
            <wp:effectExtent l="76200" t="57150" r="66675" b="47625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C27559" w:rsidRDefault="00C27559" w:rsidP="00B84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67B" w:rsidRDefault="00821A3D" w:rsidP="00B84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Транспортного податку за </w:t>
      </w:r>
      <w:r w:rsidR="001823E1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 р</w:t>
      </w:r>
      <w:r w:rsidR="00C27559">
        <w:rPr>
          <w:rFonts w:ascii="Times New Roman" w:hAnsi="Times New Roman" w:cs="Times New Roman"/>
          <w:color w:val="000000"/>
          <w:sz w:val="28"/>
          <w:szCs w:val="28"/>
        </w:rPr>
        <w:t xml:space="preserve">оку 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>надійшло до бюджету в сумі 144,8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що  становить 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>144,7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 до плану, та на 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>44,8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27559">
        <w:rPr>
          <w:rFonts w:ascii="Times New Roman" w:hAnsi="Times New Roman" w:cs="Times New Roman"/>
          <w:color w:val="000000"/>
          <w:sz w:val="28"/>
          <w:szCs w:val="28"/>
        </w:rPr>
        <w:t>більш</w:t>
      </w:r>
      <w:r w:rsidR="00F341F4">
        <w:rPr>
          <w:rFonts w:ascii="Times New Roman" w:hAnsi="Times New Roman" w:cs="Times New Roman"/>
          <w:color w:val="000000"/>
          <w:sz w:val="28"/>
          <w:szCs w:val="28"/>
        </w:rPr>
        <w:t>е ніж за відповідний період 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року.</w:t>
      </w:r>
    </w:p>
    <w:p w:rsidR="00B8467B" w:rsidRDefault="00B8467B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1CAA" w:rsidRPr="00841CAA" w:rsidRDefault="00841CAA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FE670E" w:rsidRPr="00FE670E" w:rsidRDefault="00FE670E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0E">
        <w:rPr>
          <w:rFonts w:ascii="Times New Roman" w:hAnsi="Times New Roman" w:cs="Times New Roman"/>
          <w:sz w:val="28"/>
          <w:szCs w:val="28"/>
        </w:rPr>
        <w:t>Виконання</w:t>
      </w:r>
      <w:r w:rsidRPr="00FE6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 w:cs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 w:cs="Times New Roman"/>
          <w:sz w:val="28"/>
          <w:szCs w:val="28"/>
        </w:rPr>
        <w:t>при уточненому плані</w:t>
      </w:r>
      <w:r w:rsidR="00473835" w:rsidRPr="00473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835" w:rsidRPr="00473835">
        <w:rPr>
          <w:rFonts w:ascii="Times New Roman" w:hAnsi="Times New Roman" w:cs="Times New Roman"/>
          <w:sz w:val="28"/>
          <w:szCs w:val="28"/>
        </w:rPr>
        <w:t>на</w:t>
      </w:r>
      <w:r w:rsidR="00473835" w:rsidRPr="00FE670E">
        <w:rPr>
          <w:rFonts w:ascii="Times New Roman" w:hAnsi="Times New Roman" w:cs="Times New Roman"/>
          <w:sz w:val="28"/>
          <w:szCs w:val="28"/>
        </w:rPr>
        <w:t xml:space="preserve"> </w:t>
      </w:r>
      <w:r w:rsidR="00EB3D9A">
        <w:rPr>
          <w:rFonts w:ascii="Times New Roman" w:hAnsi="Times New Roman" w:cs="Times New Roman"/>
          <w:sz w:val="28"/>
          <w:szCs w:val="28"/>
        </w:rPr>
        <w:t>9 місяців</w:t>
      </w:r>
      <w:r w:rsidR="00473835">
        <w:rPr>
          <w:rFonts w:ascii="Times New Roman" w:hAnsi="Times New Roman" w:cs="Times New Roman"/>
          <w:sz w:val="28"/>
          <w:szCs w:val="28"/>
        </w:rPr>
        <w:t xml:space="preserve"> 2019 року</w:t>
      </w:r>
      <w:r w:rsidRPr="00FE670E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885839">
        <w:rPr>
          <w:rFonts w:ascii="Times New Roman" w:hAnsi="Times New Roman" w:cs="Times New Roman"/>
          <w:sz w:val="28"/>
          <w:szCs w:val="28"/>
        </w:rPr>
        <w:t>10</w:t>
      </w:r>
      <w:r w:rsidR="00EB3D9A">
        <w:rPr>
          <w:rFonts w:ascii="Times New Roman" w:hAnsi="Times New Roman" w:cs="Times New Roman"/>
          <w:sz w:val="28"/>
          <w:szCs w:val="28"/>
        </w:rPr>
        <w:t>8,8</w:t>
      </w:r>
      <w:r w:rsidRPr="00FE670E">
        <w:rPr>
          <w:rFonts w:ascii="Times New Roman" w:hAnsi="Times New Roman" w:cs="Times New Roman"/>
          <w:sz w:val="28"/>
          <w:szCs w:val="28"/>
        </w:rPr>
        <w:t>% (</w:t>
      </w:r>
      <w:r w:rsidR="00EB3D9A">
        <w:rPr>
          <w:rFonts w:ascii="Times New Roman" w:hAnsi="Times New Roman" w:cs="Times New Roman"/>
          <w:sz w:val="28"/>
          <w:szCs w:val="28"/>
        </w:rPr>
        <w:t xml:space="preserve">9092,0 </w:t>
      </w:r>
      <w:proofErr w:type="spellStart"/>
      <w:r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70E">
        <w:rPr>
          <w:rFonts w:ascii="Times New Roman" w:hAnsi="Times New Roman" w:cs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EB3D9A">
        <w:rPr>
          <w:rFonts w:ascii="Times New Roman" w:hAnsi="Times New Roman" w:cs="Times New Roman"/>
          <w:sz w:val="28"/>
          <w:szCs w:val="28"/>
        </w:rPr>
        <w:t>111,2</w:t>
      </w:r>
      <w:r w:rsidRPr="00FE670E">
        <w:rPr>
          <w:rFonts w:ascii="Times New Roman" w:hAnsi="Times New Roman" w:cs="Times New Roman"/>
          <w:sz w:val="28"/>
          <w:szCs w:val="28"/>
        </w:rPr>
        <w:t>% (</w:t>
      </w:r>
      <w:r w:rsidR="00473835">
        <w:rPr>
          <w:rFonts w:ascii="Times New Roman" w:hAnsi="Times New Roman" w:cs="Times New Roman"/>
          <w:sz w:val="28"/>
          <w:szCs w:val="28"/>
        </w:rPr>
        <w:t xml:space="preserve">надходження </w:t>
      </w:r>
      <w:r w:rsidR="00A0666D">
        <w:rPr>
          <w:rFonts w:ascii="Times New Roman" w:hAnsi="Times New Roman" w:cs="Times New Roman"/>
          <w:sz w:val="28"/>
          <w:szCs w:val="28"/>
        </w:rPr>
        <w:t xml:space="preserve">збільшились </w:t>
      </w:r>
      <w:r w:rsidR="00473835">
        <w:rPr>
          <w:rFonts w:ascii="Times New Roman" w:hAnsi="Times New Roman" w:cs="Times New Roman"/>
          <w:sz w:val="28"/>
          <w:szCs w:val="28"/>
        </w:rPr>
        <w:t xml:space="preserve">на         </w:t>
      </w:r>
      <w:r w:rsidR="00EB3D9A">
        <w:rPr>
          <w:rFonts w:ascii="Times New Roman" w:hAnsi="Times New Roman" w:cs="Times New Roman"/>
          <w:sz w:val="28"/>
          <w:szCs w:val="28"/>
        </w:rPr>
        <w:t>915,4</w:t>
      </w:r>
      <w:r w:rsidR="00473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FE670E" w:rsidRDefault="00FE670E" w:rsidP="00FE6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динаміки надходжень зі сплати єдиного податку у розрізі платежів за </w:t>
      </w:r>
      <w:r w:rsidR="00EB3D9A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 w:rsidR="006F278B">
        <w:rPr>
          <w:rFonts w:ascii="Times New Roman" w:hAnsi="Times New Roman" w:cs="Times New Roman"/>
          <w:color w:val="000000"/>
          <w:sz w:val="28"/>
          <w:szCs w:val="28"/>
        </w:rPr>
        <w:t xml:space="preserve"> 2019 року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 xml:space="preserve"> характ</w:t>
      </w:r>
      <w:r w:rsidR="009B1FB1">
        <w:rPr>
          <w:rFonts w:ascii="Times New Roman" w:hAnsi="Times New Roman" w:cs="Times New Roman"/>
          <w:color w:val="000000"/>
          <w:sz w:val="28"/>
          <w:szCs w:val="28"/>
        </w:rPr>
        <w:t>еризується даними, наведеними на рис. 6</w:t>
      </w:r>
      <w:r w:rsidRPr="00FE67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77D2" w:rsidRPr="00FE670E" w:rsidRDefault="00D277D2" w:rsidP="00FE6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670E" w:rsidRDefault="00D277D2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235E4FF" wp14:editId="589ECB60">
            <wp:extent cx="6315075" cy="3657600"/>
            <wp:effectExtent l="38100" t="0" r="28575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FE670E" w:rsidRDefault="00EE6A38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Надходження зменшились в зв'язку з авансовими платежами платників єдиного податку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EE6A3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в грудні 2018 року (СТОВ "Росія", ТОВ "Зерновик", ФГ "Землероб").</w:t>
      </w:r>
    </w:p>
    <w:p w:rsidR="00EE6A38" w:rsidRPr="00EE6A38" w:rsidRDefault="00EE6A38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51E" w:rsidRDefault="00E71965" w:rsidP="00E7196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D64A2">
        <w:rPr>
          <w:rFonts w:ascii="TimesNewRomanPSMT" w:hAnsi="TimesNewRomanPSMT"/>
          <w:sz w:val="28"/>
          <w:szCs w:val="28"/>
        </w:rPr>
        <w:t xml:space="preserve">Акцизного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(виробленого в Україні)</w:t>
      </w:r>
      <w:r w:rsidR="00121F72" w:rsidRPr="000D64A2">
        <w:rPr>
          <w:rFonts w:ascii="TimesNewRomanPSMT" w:hAnsi="TimesNewRomanPSMT"/>
          <w:sz w:val="28"/>
          <w:szCs w:val="28"/>
        </w:rPr>
        <w:t xml:space="preserve"> та а</w:t>
      </w:r>
      <w:r w:rsidRPr="000D64A2">
        <w:rPr>
          <w:rFonts w:ascii="TimesNewRomanPSMT" w:hAnsi="TimesNewRomanPSMT"/>
          <w:sz w:val="28"/>
          <w:szCs w:val="28"/>
        </w:rPr>
        <w:t xml:space="preserve">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(ввезеного на митну територію Україні)</w:t>
      </w:r>
      <w:r w:rsidR="00AE028C">
        <w:rPr>
          <w:rFonts w:ascii="TimesNewRomanPSMT" w:hAnsi="TimesNewRomanPSMT"/>
          <w:sz w:val="28"/>
          <w:szCs w:val="28"/>
        </w:rPr>
        <w:t xml:space="preserve"> до бюджету громади за </w:t>
      </w:r>
      <w:r w:rsidR="00E54824">
        <w:rPr>
          <w:rFonts w:ascii="TimesNewRomanPSMT" w:hAnsi="TimesNewRomanPSMT"/>
          <w:sz w:val="28"/>
          <w:szCs w:val="28"/>
        </w:rPr>
        <w:t>9 місяців</w:t>
      </w:r>
      <w:r w:rsidR="00AE028C">
        <w:rPr>
          <w:rFonts w:ascii="TimesNewRomanPSMT" w:hAnsi="TimesNewRomanPSMT"/>
          <w:sz w:val="28"/>
          <w:szCs w:val="28"/>
        </w:rPr>
        <w:t xml:space="preserve"> </w:t>
      </w:r>
      <w:r w:rsidR="00121F72" w:rsidRPr="000D64A2">
        <w:rPr>
          <w:rFonts w:ascii="TimesNewRomanPSMT" w:hAnsi="TimesNewRomanPSMT"/>
          <w:sz w:val="28"/>
          <w:szCs w:val="28"/>
        </w:rPr>
        <w:t xml:space="preserve">2019 року </w:t>
      </w:r>
      <w:r w:rsidR="00AE028C">
        <w:rPr>
          <w:rFonts w:ascii="TimesNewRomanPSMT" w:hAnsi="TimesNewRomanPSMT"/>
          <w:sz w:val="28"/>
          <w:szCs w:val="28"/>
        </w:rPr>
        <w:t xml:space="preserve">надійшло </w:t>
      </w:r>
      <w:r w:rsidR="001A5EAA">
        <w:rPr>
          <w:rFonts w:ascii="TimesNewRomanPSMT" w:hAnsi="TimesNewRomanPSMT"/>
          <w:sz w:val="28"/>
          <w:szCs w:val="28"/>
        </w:rPr>
        <w:t xml:space="preserve">в сумі </w:t>
      </w:r>
      <w:r w:rsidR="00E54824">
        <w:rPr>
          <w:rFonts w:ascii="TimesNewRomanPSMT" w:hAnsi="TimesNewRomanPSMT"/>
          <w:sz w:val="28"/>
          <w:szCs w:val="28"/>
        </w:rPr>
        <w:t>3121,5</w:t>
      </w:r>
      <w:r w:rsidR="001A5EAA">
        <w:rPr>
          <w:rFonts w:ascii="TimesNewRomanPSMT" w:hAnsi="TimesNewRomanPSMT"/>
          <w:sz w:val="28"/>
          <w:szCs w:val="28"/>
        </w:rPr>
        <w:t xml:space="preserve"> тис. грн., що на </w:t>
      </w:r>
      <w:r w:rsidR="00E54824">
        <w:rPr>
          <w:rFonts w:ascii="TimesNewRomanPSMT" w:hAnsi="TimesNewRomanPSMT"/>
          <w:sz w:val="28"/>
          <w:szCs w:val="28"/>
        </w:rPr>
        <w:t>271,7</w:t>
      </w:r>
      <w:r w:rsidR="001A5EAA">
        <w:rPr>
          <w:rFonts w:ascii="TimesNewRomanPSMT" w:hAnsi="TimesNewRomanPSMT"/>
          <w:sz w:val="28"/>
          <w:szCs w:val="28"/>
        </w:rPr>
        <w:t xml:space="preserve"> тис. грн.  </w:t>
      </w:r>
      <w:r w:rsidR="00E54824">
        <w:rPr>
          <w:rFonts w:ascii="TimesNewRomanPSMT" w:hAnsi="TimesNewRomanPSMT"/>
          <w:sz w:val="28"/>
          <w:szCs w:val="28"/>
        </w:rPr>
        <w:t>менше від плану</w:t>
      </w:r>
      <w:r w:rsidR="001A5EAA">
        <w:rPr>
          <w:rFonts w:ascii="TimesNewRomanPSMT" w:hAnsi="TimesNewRomanPSMT"/>
          <w:sz w:val="28"/>
          <w:szCs w:val="28"/>
        </w:rPr>
        <w:t xml:space="preserve"> (виконання </w:t>
      </w:r>
      <w:r w:rsidR="00E54824">
        <w:rPr>
          <w:rFonts w:ascii="TimesNewRomanPSMT" w:hAnsi="TimesNewRomanPSMT"/>
          <w:sz w:val="28"/>
          <w:szCs w:val="28"/>
        </w:rPr>
        <w:t>92,0</w:t>
      </w:r>
      <w:r w:rsidR="001A5EAA">
        <w:rPr>
          <w:rFonts w:ascii="TimesNewRomanPSMT" w:hAnsi="TimesNewRomanPSMT"/>
          <w:sz w:val="28"/>
          <w:szCs w:val="28"/>
        </w:rPr>
        <w:t>%), та</w:t>
      </w:r>
      <w:r w:rsidR="00121F72" w:rsidRPr="000D64A2">
        <w:rPr>
          <w:rFonts w:ascii="TimesNewRomanPSMT" w:hAnsi="TimesNewRomanPSMT"/>
          <w:sz w:val="28"/>
          <w:szCs w:val="28"/>
        </w:rPr>
        <w:t xml:space="preserve"> </w:t>
      </w:r>
      <w:r w:rsidR="001A5EAA">
        <w:rPr>
          <w:rFonts w:ascii="TimesNewRomanPSMT" w:hAnsi="TimesNewRomanPSMT"/>
          <w:sz w:val="28"/>
          <w:szCs w:val="28"/>
        </w:rPr>
        <w:t xml:space="preserve">на </w:t>
      </w:r>
      <w:r w:rsidR="00E54824">
        <w:rPr>
          <w:rFonts w:ascii="TimesNewRomanPSMT" w:hAnsi="TimesNewRomanPSMT"/>
          <w:sz w:val="28"/>
          <w:szCs w:val="28"/>
        </w:rPr>
        <w:t xml:space="preserve">143,4 </w:t>
      </w:r>
      <w:proofErr w:type="spellStart"/>
      <w:r w:rsidR="001A5EAA">
        <w:rPr>
          <w:rFonts w:ascii="TimesNewRomanPSMT" w:hAnsi="TimesNewRomanPSMT"/>
          <w:sz w:val="28"/>
          <w:szCs w:val="28"/>
        </w:rPr>
        <w:t>тис.грн</w:t>
      </w:r>
      <w:proofErr w:type="spellEnd"/>
      <w:r w:rsidR="001A5EAA">
        <w:rPr>
          <w:rFonts w:ascii="TimesNewRomanPSMT" w:hAnsi="TimesNewRomanPSMT"/>
          <w:sz w:val="28"/>
          <w:szCs w:val="28"/>
        </w:rPr>
        <w:t xml:space="preserve">. </w:t>
      </w:r>
      <w:r w:rsidR="00E54824">
        <w:rPr>
          <w:rFonts w:ascii="TimesNewRomanPSMT" w:hAnsi="TimesNewRomanPSMT"/>
          <w:sz w:val="28"/>
          <w:szCs w:val="28"/>
        </w:rPr>
        <w:t>менше</w:t>
      </w:r>
      <w:r w:rsidR="001A5EAA">
        <w:rPr>
          <w:rFonts w:ascii="TimesNewRomanPSMT" w:hAnsi="TimesNewRomanPSMT"/>
          <w:sz w:val="28"/>
          <w:szCs w:val="28"/>
        </w:rPr>
        <w:t xml:space="preserve"> ніж за відповідний період 2018 року</w:t>
      </w:r>
      <w:r w:rsidR="00FF638B" w:rsidRPr="000D64A2">
        <w:rPr>
          <w:rFonts w:ascii="TimesNewRomanPSMT" w:hAnsi="TimesNewRomanPSMT"/>
          <w:sz w:val="28"/>
          <w:szCs w:val="28"/>
        </w:rPr>
        <w:t>.</w:t>
      </w:r>
    </w:p>
    <w:p w:rsidR="00E71965" w:rsidRDefault="00E71965" w:rsidP="00E7196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71965">
        <w:rPr>
          <w:rFonts w:ascii="TimesNewRomanPSMT" w:hAnsi="TimesNewRomanPSMT"/>
          <w:color w:val="000000"/>
          <w:sz w:val="28"/>
          <w:szCs w:val="28"/>
        </w:rPr>
        <w:t xml:space="preserve">Акцизного податку з реалізації суб'єктами господарювання </w:t>
      </w:r>
      <w:r w:rsidRPr="00E71965">
        <w:rPr>
          <w:rFonts w:ascii="TimesNewRomanPSMT" w:hAnsi="TimesNewRomanPSMT"/>
          <w:b/>
          <w:color w:val="000000"/>
          <w:sz w:val="28"/>
          <w:szCs w:val="28"/>
        </w:rPr>
        <w:t>роздрібної торгівлі підакцизних товарів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отримано </w:t>
      </w:r>
      <w:r w:rsidR="00E54824">
        <w:rPr>
          <w:rFonts w:ascii="TimesNewRomanPSMT" w:hAnsi="TimesNewRomanPSMT"/>
          <w:color w:val="000000"/>
          <w:sz w:val="28"/>
          <w:szCs w:val="28"/>
        </w:rPr>
        <w:t>1718,0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тис. грн. (</w:t>
      </w:r>
      <w:r>
        <w:rPr>
          <w:rFonts w:ascii="TimesNewRomanPSMT" w:hAnsi="TimesNewRomanPSMT"/>
          <w:color w:val="000000"/>
          <w:sz w:val="28"/>
          <w:szCs w:val="28"/>
        </w:rPr>
        <w:t>1</w:t>
      </w:r>
      <w:r w:rsidR="00C66A00">
        <w:rPr>
          <w:rFonts w:ascii="TimesNewRomanPSMT" w:hAnsi="TimesNewRomanPSMT"/>
          <w:color w:val="000000"/>
          <w:sz w:val="28"/>
          <w:szCs w:val="28"/>
        </w:rPr>
        <w:t>05,1</w:t>
      </w:r>
      <w:r>
        <w:rPr>
          <w:rFonts w:ascii="TimesNewRomanPSMT" w:hAnsi="TimesNewRomanPSMT"/>
          <w:color w:val="000000"/>
          <w:sz w:val="28"/>
          <w:szCs w:val="28"/>
        </w:rPr>
        <w:t>%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до планового завдання на звітний період, </w:t>
      </w:r>
      <w:r w:rsidR="00121F72">
        <w:rPr>
          <w:rFonts w:ascii="TimesNewRomanPSMT" w:hAnsi="TimesNewRomanPSMT"/>
          <w:color w:val="000000"/>
          <w:sz w:val="28"/>
          <w:szCs w:val="28"/>
        </w:rPr>
        <w:t xml:space="preserve"> та більше ніж за відповідний період минулого року</w:t>
      </w:r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r w:rsidR="00121F72">
        <w:rPr>
          <w:rFonts w:ascii="TimesNewRomanPSMT" w:hAnsi="TimesNewRomanPSMT"/>
          <w:color w:val="000000"/>
          <w:sz w:val="28"/>
          <w:szCs w:val="28"/>
        </w:rPr>
        <w:t>1</w:t>
      </w:r>
      <w:r w:rsidR="006A57B6">
        <w:rPr>
          <w:rFonts w:ascii="TimesNewRomanPSMT" w:hAnsi="TimesNewRomanPSMT"/>
          <w:color w:val="000000"/>
          <w:sz w:val="28"/>
          <w:szCs w:val="28"/>
        </w:rPr>
        <w:t>0</w:t>
      </w:r>
      <w:r w:rsidR="00C66A00">
        <w:rPr>
          <w:rFonts w:ascii="TimesNewRomanPSMT" w:hAnsi="TimesNewRomanPSMT"/>
          <w:color w:val="000000"/>
          <w:sz w:val="28"/>
          <w:szCs w:val="28"/>
        </w:rPr>
        <w:t>,0</w:t>
      </w:r>
      <w:r>
        <w:rPr>
          <w:rFonts w:ascii="TimesNewRomanPSMT" w:hAnsi="TimesNewRomanPSMT"/>
          <w:color w:val="000000"/>
          <w:sz w:val="28"/>
          <w:szCs w:val="28"/>
        </w:rPr>
        <w:t xml:space="preserve">%, або на </w:t>
      </w:r>
      <w:r w:rsidR="00C66A00">
        <w:rPr>
          <w:rFonts w:ascii="TimesNewRomanPSMT" w:hAnsi="TimesNewRomanPSMT"/>
          <w:color w:val="000000"/>
          <w:sz w:val="28"/>
          <w:szCs w:val="28"/>
        </w:rPr>
        <w:t>155,8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). </w:t>
      </w:r>
    </w:p>
    <w:p w:rsidR="00E71965" w:rsidRPr="00E71965" w:rsidRDefault="00E71965" w:rsidP="0035136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33741" w:rsidRDefault="00E93348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3348">
        <w:rPr>
          <w:rFonts w:ascii="TimesNewRomanPSMT" w:hAnsi="TimesNewRomanPSMT"/>
          <w:b/>
          <w:color w:val="000000"/>
          <w:sz w:val="28"/>
          <w:szCs w:val="28"/>
        </w:rPr>
        <w:t>Податку на прибуток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комунальних підприємств до бюджету</w:t>
      </w:r>
      <w:r w:rsidR="00EE6A38">
        <w:rPr>
          <w:rFonts w:ascii="TimesNewRomanPSMT" w:hAnsi="TimesNewRomanPSMT"/>
          <w:color w:val="000000"/>
          <w:sz w:val="28"/>
          <w:szCs w:val="28"/>
        </w:rPr>
        <w:t xml:space="preserve"> ОТГ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надійшло </w:t>
      </w:r>
      <w:r w:rsidR="006C46B3">
        <w:rPr>
          <w:rFonts w:ascii="TimesNewRomanPSMT" w:hAnsi="TimesNewRomanPSMT"/>
          <w:color w:val="000000"/>
          <w:sz w:val="28"/>
          <w:szCs w:val="28"/>
        </w:rPr>
        <w:t>68,</w:t>
      </w:r>
      <w:r w:rsidR="00BF5158">
        <w:rPr>
          <w:rFonts w:ascii="TimesNewRomanPSMT" w:hAnsi="TimesNewRomanPSMT"/>
          <w:color w:val="000000"/>
          <w:sz w:val="28"/>
          <w:szCs w:val="28"/>
        </w:rPr>
        <w:t>2</w:t>
      </w:r>
      <w:r w:rsidR="006C46B3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6C46B3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6C46B3">
        <w:rPr>
          <w:rFonts w:ascii="TimesNewRomanPSMT" w:hAnsi="TimesNewRomanPSMT"/>
          <w:color w:val="000000"/>
          <w:sz w:val="28"/>
          <w:szCs w:val="28"/>
        </w:rPr>
        <w:t>.</w:t>
      </w:r>
    </w:p>
    <w:p w:rsidR="001279AA" w:rsidRDefault="001279AA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279AA">
        <w:rPr>
          <w:rFonts w:ascii="TimesNewRomanPSMT" w:hAnsi="TimesNewRomanPSMT"/>
          <w:b/>
          <w:color w:val="000000"/>
          <w:sz w:val="28"/>
          <w:szCs w:val="28"/>
        </w:rPr>
        <w:t>Рентної плати</w:t>
      </w:r>
      <w:r>
        <w:rPr>
          <w:rFonts w:ascii="TimesNewRomanPSMT" w:hAnsi="TimesNewRomanPSMT"/>
          <w:color w:val="000000"/>
          <w:sz w:val="28"/>
          <w:szCs w:val="28"/>
        </w:rPr>
        <w:t>, а саме</w:t>
      </w:r>
      <w:r w:rsidR="00C66A00">
        <w:rPr>
          <w:rFonts w:ascii="TimesNewRomanPSMT" w:hAnsi="TimesNewRomanPSMT"/>
          <w:color w:val="000000"/>
          <w:sz w:val="28"/>
          <w:szCs w:val="28"/>
        </w:rPr>
        <w:t xml:space="preserve">, за користування надрами,  за 9 місяців 2019 року надійшло в сумі 89,5 </w:t>
      </w:r>
      <w:proofErr w:type="spellStart"/>
      <w:r w:rsidR="00C66A00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="00C66A00">
        <w:rPr>
          <w:rFonts w:ascii="TimesNewRomanPSMT" w:hAnsi="TimesNewRomanPSMT"/>
          <w:color w:val="000000"/>
          <w:sz w:val="28"/>
          <w:szCs w:val="28"/>
        </w:rPr>
        <w:t>. при плані 52</w:t>
      </w:r>
      <w:r>
        <w:rPr>
          <w:rFonts w:ascii="TimesNewRomanPSMT" w:hAnsi="TimesNewRomanPSMT"/>
          <w:color w:val="000000"/>
          <w:sz w:val="28"/>
          <w:szCs w:val="28"/>
        </w:rPr>
        <w:t xml:space="preserve">,0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EE6A38" w:rsidRDefault="00EE6A38" w:rsidP="00EE6A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451E" w:rsidRDefault="0070451E" w:rsidP="006B7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B74C1" w:rsidRPr="009D14B3" w:rsidRDefault="006B74C1" w:rsidP="006B7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5C08">
        <w:rPr>
          <w:rFonts w:ascii="Times New Roman" w:hAnsi="Times New Roman" w:cs="Times New Roman"/>
          <w:b/>
          <w:bCs/>
          <w:sz w:val="28"/>
          <w:szCs w:val="28"/>
          <w:u w:val="single"/>
        </w:rPr>
        <w:t>Неподаткові надходження</w:t>
      </w:r>
    </w:p>
    <w:p w:rsidR="006B74C1" w:rsidRPr="006B74C1" w:rsidRDefault="006B74C1" w:rsidP="006B74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51367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Планові показники неподаткових платежів на </w:t>
      </w:r>
      <w:r w:rsidR="00C66A00">
        <w:rPr>
          <w:rFonts w:ascii="Times New Roman" w:hAnsi="Times New Roman" w:cs="Times New Roman"/>
          <w:color w:val="000000"/>
          <w:sz w:val="28"/>
          <w:szCs w:val="28"/>
        </w:rPr>
        <w:t xml:space="preserve">9 місяців </w:t>
      </w:r>
      <w:r w:rsidR="001A1556" w:rsidRPr="00C501E5">
        <w:rPr>
          <w:rFonts w:ascii="Times New Roman" w:hAnsi="Times New Roman" w:cs="Times New Roman"/>
          <w:color w:val="000000"/>
          <w:sz w:val="28"/>
          <w:szCs w:val="28"/>
        </w:rPr>
        <w:t>2019 року</w:t>
      </w: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становлять</w:t>
      </w:r>
      <w:r w:rsidR="001A1556"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A00" w:rsidRPr="00C66A00">
        <w:rPr>
          <w:rFonts w:ascii="Times New Roman" w:hAnsi="Times New Roman" w:cs="Times New Roman"/>
          <w:b/>
          <w:color w:val="000000"/>
          <w:sz w:val="28"/>
          <w:szCs w:val="28"/>
        </w:rPr>
        <w:t>884,0</w:t>
      </w:r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.,  фактичні надходження склали </w:t>
      </w:r>
      <w:r w:rsidR="00570D61" w:rsidRPr="00C501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A00" w:rsidRPr="00C66A00">
        <w:rPr>
          <w:rFonts w:ascii="Times New Roman" w:hAnsi="Times New Roman" w:cs="Times New Roman"/>
          <w:b/>
          <w:color w:val="000000"/>
          <w:sz w:val="28"/>
          <w:szCs w:val="28"/>
        </w:rPr>
        <w:t>934,1</w:t>
      </w:r>
      <w:r w:rsidRPr="00C501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>105,7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уточненого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плану. Основні надходження забезпечили:</w:t>
      </w:r>
    </w:p>
    <w:p w:rsidR="006B74C1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інш</w:t>
      </w:r>
      <w:r w:rsidR="00A45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 надходження (</w:t>
      </w:r>
      <w:r w:rsidR="00A45008" w:rsidRPr="00A45008">
        <w:rPr>
          <w:rFonts w:ascii="Times New Roman" w:hAnsi="Times New Roman" w:cs="Times New Roman"/>
          <w:bCs/>
          <w:color w:val="000000"/>
          <w:sz w:val="28"/>
          <w:szCs w:val="28"/>
        </w:rPr>
        <w:t>адміністративні штрафи</w:t>
      </w:r>
      <w:r w:rsidR="00A45008">
        <w:rPr>
          <w:rFonts w:ascii="Times New Roman" w:hAnsi="Times New Roman" w:cs="Times New Roman"/>
          <w:bCs/>
          <w:color w:val="000000"/>
          <w:sz w:val="28"/>
          <w:szCs w:val="28"/>
        </w:rPr>
        <w:t>, с</w:t>
      </w:r>
      <w:r w:rsidR="00A45008" w:rsidRPr="00A45008">
        <w:rPr>
          <w:rFonts w:ascii="Times New Roman" w:hAnsi="Times New Roman" w:cs="Times New Roman"/>
          <w:bCs/>
          <w:color w:val="000000"/>
          <w:sz w:val="28"/>
          <w:szCs w:val="28"/>
        </w:rPr>
        <w:t>анкції</w:t>
      </w:r>
      <w:r w:rsidR="00A45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="00570D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становлять            </w:t>
      </w:r>
      <w:r w:rsidR="004C1EDF" w:rsidRPr="004C1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152,0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0D6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570D61">
        <w:rPr>
          <w:rFonts w:ascii="Times New Roman" w:hAnsi="Times New Roman" w:cs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C1EDF" w:rsidRPr="004C1EDF">
        <w:rPr>
          <w:rFonts w:ascii="Times New Roman" w:hAnsi="Times New Roman" w:cs="Times New Roman"/>
          <w:b/>
          <w:color w:val="000000"/>
          <w:sz w:val="28"/>
          <w:szCs w:val="28"/>
        </w:rPr>
        <w:t>110,9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 більше від </w:t>
      </w:r>
      <w:r w:rsidR="00570D61">
        <w:rPr>
          <w:rFonts w:ascii="Times New Roman" w:hAnsi="Times New Roman" w:cs="Times New Roman"/>
          <w:color w:val="000000"/>
          <w:sz w:val="28"/>
          <w:szCs w:val="28"/>
        </w:rPr>
        <w:t>плану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юридичних осіб, фізичних осіб – підприємців та громадських формувань –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>32,4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., що становить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 xml:space="preserve">105,9 </w:t>
      </w:r>
      <w:r w:rsidR="00E4428D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 планового завдання (на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>1,9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C1EDF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від минулого року);</w:t>
      </w:r>
    </w:p>
    <w:p w:rsidR="00527369" w:rsidRPr="00527369" w:rsidRDefault="00527369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27369">
        <w:rPr>
          <w:rFonts w:ascii="Times New Roman" w:hAnsi="Times New Roman" w:cs="Times New Roman"/>
          <w:b/>
          <w:color w:val="000000"/>
          <w:sz w:val="28"/>
          <w:szCs w:val="28"/>
        </w:rPr>
        <w:t>плата за надання інших адміністративних послуг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27369">
        <w:rPr>
          <w:rFonts w:ascii="Times New Roman" w:hAnsi="Times New Roman" w:cs="Times New Roman"/>
          <w:color w:val="000000"/>
          <w:sz w:val="28"/>
          <w:szCs w:val="28"/>
        </w:rPr>
        <w:t xml:space="preserve">при плані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560,4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. надходження складають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460,7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155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82,2</w:t>
      </w:r>
      <w:r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6B74C1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на нерухоме майно та їх обтяжень –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181,8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тис. грн., що </w:t>
      </w:r>
      <w:r w:rsidR="001A155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становить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98,1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%,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у порівнянні з відповідним періодом минулого року надходження 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зменшились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B67A4" w:rsidRPr="005B67A4">
        <w:rPr>
          <w:rFonts w:ascii="Times New Roman" w:hAnsi="Times New Roman" w:cs="Times New Roman"/>
          <w:b/>
          <w:color w:val="000000"/>
          <w:sz w:val="28"/>
          <w:szCs w:val="28"/>
        </w:rPr>
        <w:t>3,3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10FC">
        <w:rPr>
          <w:rFonts w:ascii="Times New Roman" w:hAnsi="Times New Roman" w:cs="Times New Roman"/>
          <w:color w:val="000000"/>
          <w:sz w:val="28"/>
          <w:szCs w:val="28"/>
        </w:rPr>
        <w:t xml:space="preserve">, або на </w:t>
      </w:r>
      <w:r w:rsidR="005B67A4" w:rsidRPr="005B67A4">
        <w:rPr>
          <w:rFonts w:ascii="Times New Roman" w:hAnsi="Times New Roman" w:cs="Times New Roman"/>
          <w:b/>
          <w:color w:val="000000"/>
          <w:sz w:val="28"/>
          <w:szCs w:val="28"/>
        </w:rPr>
        <w:t>1,8</w:t>
      </w:r>
      <w:r w:rsidR="008F321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74C1" w:rsidRPr="006B74C1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державне мито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87,6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тис. грн., або 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>131,7</w:t>
      </w:r>
      <w:r w:rsidR="009D137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9D137A">
        <w:rPr>
          <w:rFonts w:ascii="Times New Roman" w:hAnsi="Times New Roman" w:cs="Times New Roman"/>
          <w:color w:val="000000"/>
          <w:sz w:val="28"/>
          <w:szCs w:val="28"/>
        </w:rPr>
        <w:t xml:space="preserve">уточненого 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лану 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B67A4">
        <w:rPr>
          <w:rFonts w:ascii="Times New Roman" w:hAnsi="Times New Roman" w:cs="Times New Roman"/>
          <w:color w:val="000000"/>
          <w:sz w:val="28"/>
          <w:szCs w:val="28"/>
        </w:rPr>
        <w:t xml:space="preserve"> 9 місяців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0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10B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="00647187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порівн</w:t>
      </w:r>
      <w:r w:rsidR="00647187">
        <w:rPr>
          <w:rFonts w:ascii="Times New Roman" w:hAnsi="Times New Roman" w:cs="Times New Roman"/>
          <w:color w:val="000000"/>
          <w:sz w:val="28"/>
          <w:szCs w:val="28"/>
        </w:rPr>
        <w:t>янні з аналогічним періодом 2018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року надходження зросли на</w:t>
      </w:r>
      <w:r w:rsidR="00647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0CE">
        <w:rPr>
          <w:rFonts w:ascii="Times New Roman" w:hAnsi="Times New Roman" w:cs="Times New Roman"/>
          <w:color w:val="000000"/>
          <w:sz w:val="28"/>
          <w:szCs w:val="28"/>
        </w:rPr>
        <w:t>17,4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., або на </w:t>
      </w:r>
      <w:r w:rsidR="007820CE">
        <w:rPr>
          <w:rFonts w:ascii="Times New Roman" w:hAnsi="Times New Roman" w:cs="Times New Roman"/>
          <w:color w:val="000000"/>
          <w:sz w:val="28"/>
          <w:szCs w:val="28"/>
        </w:rPr>
        <w:t>24,8</w:t>
      </w:r>
      <w:r w:rsidR="009D137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2550" w:rsidRDefault="006B74C1" w:rsidP="009839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інші надходження </w:t>
      </w:r>
      <w:r w:rsidR="00C41ED6" w:rsidRPr="00C41ED6">
        <w:rPr>
          <w:rFonts w:ascii="Times New Roman" w:hAnsi="Times New Roman" w:cs="Times New Roman"/>
          <w:color w:val="000000"/>
          <w:sz w:val="28"/>
          <w:szCs w:val="28"/>
        </w:rPr>
        <w:t>, а саме</w:t>
      </w:r>
      <w:r w:rsidR="00C41E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1ED6">
        <w:rPr>
          <w:rFonts w:ascii="Times New Roman" w:hAnsi="Times New Roman" w:cs="Times New Roman"/>
          <w:color w:val="000000"/>
          <w:sz w:val="28"/>
          <w:szCs w:val="28"/>
        </w:rPr>
        <w:t xml:space="preserve">плата </w:t>
      </w:r>
      <w:r w:rsidR="00C41ED6" w:rsidRPr="006B74C1">
        <w:rPr>
          <w:rFonts w:ascii="Times New Roman" w:hAnsi="Times New Roman" w:cs="Times New Roman"/>
          <w:color w:val="000000"/>
          <w:sz w:val="28"/>
          <w:szCs w:val="28"/>
        </w:rPr>
        <w:t>за розміщення об’єктів зовнішньої реклами</w:t>
      </w:r>
      <w:r w:rsidR="00C41E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20CE">
        <w:rPr>
          <w:rFonts w:ascii="Times New Roman" w:hAnsi="Times New Roman" w:cs="Times New Roman"/>
          <w:color w:val="000000"/>
          <w:sz w:val="28"/>
          <w:szCs w:val="28"/>
        </w:rPr>
        <w:t>17,8</w:t>
      </w:r>
      <w:r w:rsidR="00024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41ED6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C41E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4615" w:rsidRDefault="003F4615" w:rsidP="00312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615" w:rsidRDefault="003F4615" w:rsidP="003F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3F4615" w:rsidRDefault="003F4615" w:rsidP="003F4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7820CE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 w:rsidR="00C41ED6">
        <w:rPr>
          <w:rFonts w:ascii="Times New Roman" w:hAnsi="Times New Roman" w:cs="Times New Roman"/>
          <w:color w:val="000000"/>
          <w:sz w:val="28"/>
          <w:szCs w:val="28"/>
        </w:rPr>
        <w:t xml:space="preserve"> 2019 року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до загального фонду  бюджету </w:t>
      </w:r>
      <w:r w:rsidR="00EE6A38">
        <w:rPr>
          <w:rFonts w:ascii="Times New Roman" w:hAnsi="Times New Roman" w:cs="Times New Roman"/>
          <w:color w:val="000000"/>
          <w:sz w:val="28"/>
          <w:szCs w:val="28"/>
        </w:rPr>
        <w:t xml:space="preserve">громади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надійшло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офіційних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трансфертів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на загальну суму </w:t>
      </w:r>
      <w:r w:rsidR="007820CE">
        <w:rPr>
          <w:rFonts w:ascii="Times New Roman" w:hAnsi="Times New Roman" w:cs="Times New Roman"/>
          <w:b/>
          <w:color w:val="000000"/>
          <w:sz w:val="28"/>
          <w:szCs w:val="28"/>
        </w:rPr>
        <w:t>46174,5</w:t>
      </w:r>
      <w:r w:rsidR="00024F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3A17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тому числі</w:t>
      </w:r>
      <w:r w:rsidR="00CA5C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A1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74C" w:rsidRPr="003C1F35">
        <w:rPr>
          <w:rFonts w:ascii="Times New Roman" w:hAnsi="Times New Roman" w:cs="Times New Roman"/>
          <w:b/>
          <w:color w:val="000000"/>
          <w:sz w:val="28"/>
          <w:szCs w:val="28"/>
        </w:rPr>
        <w:t>дотацій</w:t>
      </w:r>
      <w:r w:rsidR="00C76F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17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 сумі </w:t>
      </w:r>
      <w:r w:rsidR="000C7F73" w:rsidRPr="000C7F73">
        <w:rPr>
          <w:rFonts w:ascii="Times New Roman" w:hAnsi="Times New Roman" w:cs="Times New Roman"/>
          <w:b/>
          <w:color w:val="000000"/>
          <w:sz w:val="28"/>
          <w:szCs w:val="28"/>
        </w:rPr>
        <w:t>4844,7</w:t>
      </w:r>
      <w:r w:rsidR="003A17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74C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3A17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4F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субвенцій </w:t>
      </w:r>
      <w:r w:rsidR="00024F11" w:rsidRPr="00024F11">
        <w:rPr>
          <w:rFonts w:ascii="Times New Roman" w:hAnsi="Times New Roman" w:cs="Times New Roman"/>
          <w:b/>
          <w:color w:val="000000"/>
          <w:sz w:val="28"/>
          <w:szCs w:val="28"/>
        </w:rPr>
        <w:t>з державного бюджету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у сумі </w:t>
      </w:r>
      <w:r w:rsidR="005764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38927,4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</w:t>
      </w:r>
      <w:r w:rsidR="00A351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тому числі:</w:t>
      </w:r>
    </w:p>
    <w:p w:rsidR="003C1F35" w:rsidRDefault="003C1F3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державного бюджету місцевим бюджетам на формування інфраструктури об`єднаних територіальних громад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1632,0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або 100%;</w:t>
      </w:r>
    </w:p>
    <w:p w:rsidR="003C1F35" w:rsidRPr="003C1F35" w:rsidRDefault="003C1F3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державного бюджету місцевим бюджетам на здійснення заходів щодо соціально-економічного розвитку окремих територій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645D">
        <w:rPr>
          <w:rFonts w:ascii="Times New Roman" w:hAnsi="Times New Roman" w:cs="Times New Roman"/>
          <w:color w:val="000000"/>
          <w:sz w:val="28"/>
          <w:szCs w:val="28"/>
          <w:lang w:val="ru-RU"/>
        </w:rPr>
        <w:t>2650,0</w:t>
      </w:r>
      <w:r w:rsidRPr="003C1F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47B7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освітня субвенція з державного бюджету – 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24993,4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>., або 100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4F11" w:rsidRDefault="003F4615" w:rsidP="00024F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медична субвенція з державного бюджету – 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9652,0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., або 100%, </w:t>
      </w:r>
      <w:r w:rsidR="00024F11" w:rsidRPr="00024F11">
        <w:rPr>
          <w:rFonts w:ascii="Times New Roman" w:hAnsi="Times New Roman" w:cs="Times New Roman"/>
          <w:b/>
          <w:color w:val="000000"/>
          <w:sz w:val="28"/>
          <w:szCs w:val="28"/>
        </w:rPr>
        <w:t>субвенцій з місцевого бюджету</w:t>
      </w:r>
      <w:r w:rsidR="003C1F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1F35" w:rsidRPr="003C1F35">
        <w:rPr>
          <w:rFonts w:ascii="Times New Roman" w:hAnsi="Times New Roman" w:cs="Times New Roman"/>
          <w:color w:val="000000"/>
          <w:sz w:val="28"/>
          <w:szCs w:val="28"/>
        </w:rPr>
        <w:t>у сумі</w:t>
      </w:r>
      <w:r w:rsidR="003C1F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25C">
        <w:rPr>
          <w:rFonts w:ascii="Times New Roman" w:hAnsi="Times New Roman" w:cs="Times New Roman"/>
          <w:b/>
          <w:color w:val="000000"/>
          <w:sz w:val="28"/>
          <w:szCs w:val="28"/>
        </w:rPr>
        <w:t>2402,4</w:t>
      </w:r>
      <w:r w:rsidR="00024F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4F11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024F11">
        <w:rPr>
          <w:rFonts w:ascii="Times New Roman" w:hAnsi="Times New Roman" w:cs="Times New Roman"/>
          <w:color w:val="000000"/>
          <w:sz w:val="28"/>
          <w:szCs w:val="28"/>
        </w:rPr>
        <w:t>., у тому числі:</w:t>
      </w:r>
    </w:p>
    <w:p w:rsidR="003F4615" w:rsidRP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>- субвенція з місцевого бюджету на надання державної підтримки особам з особливими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338,3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або </w:t>
      </w:r>
      <w:r w:rsidR="00CA5C9A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CB47B7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>- субвенція з місцевого бюджету на забезпечення якісної, сучасної та доступної загальної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середньої освіти "Нова українська школа" за рахунок відповідної субвенції з державного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бюджету –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480,0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CA5C9A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3F46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5C9A" w:rsidRDefault="00CA5C9A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7645D">
        <w:rPr>
          <w:rFonts w:ascii="Times New Roman" w:hAnsi="Times New Roman" w:cs="Times New Roman"/>
          <w:color w:val="000000"/>
          <w:sz w:val="28"/>
          <w:szCs w:val="28"/>
        </w:rPr>
        <w:t>661,6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A5C9A" w:rsidRDefault="00CA5C9A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CA5C9A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за рахунок залишку коштів освітньої субвенції, що утворився на початок бюджетного періоду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261,1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06E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6E8E" w:rsidRPr="003F4615" w:rsidRDefault="00E06E8E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C1F35" w:rsidRPr="003C1F35">
        <w:rPr>
          <w:rFonts w:ascii="Times New Roman" w:hAnsi="Times New Roman" w:cs="Times New Roman"/>
          <w:color w:val="000000"/>
          <w:sz w:val="28"/>
          <w:szCs w:val="28"/>
        </w:rPr>
        <w:t>убвенція з місцевого бюджету на реалізацію заходів, спрямованих на підвищення якості освіти за рахунок відповідної субвенції з державного бюджету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F35" w:rsidRPr="003F46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288,9</w:t>
      </w:r>
      <w:r w:rsidR="003C1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1F3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3C1F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4615" w:rsidRDefault="003F4615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- інші субвенції з місцевого бюджету –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372,5</w:t>
      </w:r>
      <w:r w:rsidR="00E06E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2B125C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B6518F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50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0DF" w:rsidRDefault="000950DF" w:rsidP="003F4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A38" w:rsidRDefault="00EE6A38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EE6A38" w:rsidRDefault="00EE6A38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3F4615" w:rsidRPr="0049137A" w:rsidRDefault="00875BAD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875BAD" w:rsidRDefault="00875BAD" w:rsidP="00875BA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875BAD" w:rsidRDefault="006868E5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Надходження по спеціальному фонду за </w:t>
      </w:r>
      <w:r w:rsidR="001F4BC6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 року складають </w:t>
      </w:r>
      <w:r w:rsidR="001F4BC6">
        <w:rPr>
          <w:rFonts w:ascii="Times New Roman" w:hAnsi="Times New Roman" w:cs="Times New Roman"/>
          <w:color w:val="000000"/>
          <w:sz w:val="28"/>
          <w:szCs w:val="28"/>
        </w:rPr>
        <w:t xml:space="preserve">4919,7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при плані – </w:t>
      </w:r>
      <w:r w:rsidR="00360D14" w:rsidRPr="00360D14">
        <w:rPr>
          <w:rFonts w:ascii="Times New Roman" w:hAnsi="Times New Roman" w:cs="Times New Roman"/>
          <w:b/>
          <w:color w:val="000000"/>
          <w:sz w:val="28"/>
          <w:szCs w:val="28"/>
        </w:rPr>
        <w:t>4284,2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EE6A38">
        <w:rPr>
          <w:rFonts w:ascii="Times New Roman" w:hAnsi="Times New Roman" w:cs="Times New Roman"/>
          <w:color w:val="000000"/>
          <w:sz w:val="28"/>
          <w:szCs w:val="28"/>
        </w:rPr>
        <w:t xml:space="preserve">відсоток виконання становить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114,8</w:t>
      </w:r>
      <w:r w:rsidR="00C9330C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5BAD"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5BAD" w:rsidRP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Природоохоронний фонд </w:t>
      </w:r>
      <w:r w:rsidR="000950DF">
        <w:rPr>
          <w:rFonts w:ascii="Times New Roman" w:hAnsi="Times New Roman" w:cs="Times New Roman"/>
          <w:color w:val="000000"/>
          <w:sz w:val="28"/>
          <w:szCs w:val="28"/>
        </w:rPr>
        <w:t xml:space="preserve">складає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47,8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0950DF" w:rsidRPr="000950DF">
        <w:rPr>
          <w:rFonts w:ascii="Times New Roman" w:hAnsi="Times New Roman" w:cs="Times New Roman"/>
          <w:sz w:val="28"/>
          <w:szCs w:val="28"/>
        </w:rPr>
        <w:t>т</w:t>
      </w:r>
      <w:r w:rsidRPr="000950DF">
        <w:rPr>
          <w:rFonts w:ascii="Times New Roman" w:hAnsi="Times New Roman" w:cs="Times New Roman"/>
          <w:sz w:val="28"/>
          <w:szCs w:val="28"/>
        </w:rPr>
        <w:t>ис. грн.,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>), а саме:</w:t>
      </w:r>
    </w:p>
    <w:p w:rsid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- екологічного податку надійшло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42,0</w:t>
      </w:r>
      <w:r w:rsidR="00686D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., або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105,3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 плану, до відповідного періоду минулого року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 надходження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збільшились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7149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3,2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 xml:space="preserve">, або на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8,3</w:t>
      </w:r>
      <w:r w:rsidR="00DD649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-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надійшло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5,8</w:t>
      </w:r>
      <w:r w:rsidR="00D61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7397" w:rsidRPr="00777397" w:rsidRDefault="00777397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бюджету розвитку </w:t>
      </w:r>
      <w:r w:rsidRPr="0077739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9 місяців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 року надійшли кошти</w:t>
      </w:r>
      <w:r w:rsidRPr="00777397">
        <w:rPr>
          <w:rFonts w:ascii="Times New Roman" w:hAnsi="Times New Roman" w:cs="Times New Roman"/>
          <w:color w:val="000000"/>
          <w:sz w:val="28"/>
          <w:szCs w:val="28"/>
        </w:rPr>
        <w:t xml:space="preserve"> пайової участі у розвитку інфраструктури населеного пункту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сумі 108,8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5BAD" w:rsidRPr="00875BAD" w:rsidRDefault="00875BAD" w:rsidP="0087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B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становлять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4763,1</w:t>
      </w:r>
      <w:r w:rsidR="00777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6D3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686D3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проти відповідного періоду минулого року надходження </w:t>
      </w:r>
      <w:r w:rsidR="00BB3022">
        <w:rPr>
          <w:rFonts w:ascii="Times New Roman" w:hAnsi="Times New Roman" w:cs="Times New Roman"/>
          <w:color w:val="000000"/>
          <w:sz w:val="28"/>
          <w:szCs w:val="28"/>
        </w:rPr>
        <w:t>збільшились</w:t>
      </w:r>
      <w:r w:rsidRPr="00875BA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A02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0D14">
        <w:rPr>
          <w:rFonts w:ascii="Times New Roman" w:hAnsi="Times New Roman" w:cs="Times New Roman"/>
          <w:color w:val="000000"/>
          <w:sz w:val="28"/>
          <w:szCs w:val="28"/>
        </w:rPr>
        <w:t>2958,8тис.грн.</w:t>
      </w:r>
    </w:p>
    <w:p w:rsidR="00BD1772" w:rsidRDefault="00BD177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1A2" w:rsidRDefault="009901A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1A2" w:rsidRDefault="009901A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1A2" w:rsidRDefault="009901A2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D14B3" w:rsidRDefault="009D14B3" w:rsidP="007406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856EFF" w:rsidRDefault="002B4AE0" w:rsidP="00856EF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</w:t>
      </w:r>
      <w:r w:rsidR="00856EFF" w:rsidRPr="00F136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ВИКОНАННЯ ВИДАТКІВ</w:t>
      </w:r>
    </w:p>
    <w:p w:rsidR="00856EFF" w:rsidRPr="00F136A6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6EFF" w:rsidRPr="00590556" w:rsidRDefault="00856EFF" w:rsidP="00856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9 місяців 2019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19.12.2018 року №1136 "Про  бюджет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об"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єднаної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на 2019 рік" (зі змінами).</w:t>
      </w:r>
    </w:p>
    <w:p w:rsidR="00856EFF" w:rsidRPr="00590556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Видаткова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частина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загального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фонду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бюджету громади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 місяців 2019 року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виконана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сумі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106023,6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тис.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грн. при уточнен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ому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плані на вказаний період 119607,1 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  <w:proofErr w:type="gram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</w:t>
      </w:r>
      <w:proofErr w:type="gram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рн.,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88,7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56EFF" w:rsidRPr="00590556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Значну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частину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становлять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галуз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освіта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65,0%, </w:t>
      </w:r>
      <w:r w:rsidRPr="00590556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т.ч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надання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спеціальної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освіти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школами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естетичного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виховання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музичними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художніми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хореографічними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театральними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хоровими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мистецькими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– 1,9 %, 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державне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10,6 %, </w:t>
      </w:r>
      <w:proofErr w:type="spellStart"/>
      <w:proofErr w:type="gram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</w:t>
      </w:r>
      <w:proofErr w:type="gram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іальний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захист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соціальне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   3,7 %, культура і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мистецтво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 3,4 %,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житлово-комунальне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господарство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4,3 % та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міжбюджетні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трансферти</w:t>
      </w:r>
      <w:proofErr w:type="spellEnd"/>
      <w:r w:rsidRPr="0059055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10,2 %. </w:t>
      </w:r>
    </w:p>
    <w:p w:rsidR="00856EFF" w:rsidRPr="00F136A6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88002,9 тис. грн. </w:t>
      </w:r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плані на вказаний період – 99304,8 </w:t>
      </w:r>
      <w:r w:rsidRPr="00B24CB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  <w:proofErr w:type="gramEnd"/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</w:t>
      </w:r>
      <w:proofErr w:type="gramEnd"/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рн., </w:t>
      </w:r>
      <w:r w:rsidRPr="00B2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становить 88,6 </w:t>
      </w:r>
      <w:r w:rsidRPr="00B24CB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або 83,0 % від загальної суми видатків громади.</w:t>
      </w:r>
    </w:p>
    <w:p w:rsidR="00856EFF" w:rsidRPr="00F136A6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7E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Видатки на галузь освіта становлять 68927,0 тис. грн. при уточненому плані на вказаний період –79016,9 тис. грн. (87,2%), в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2031,8 тис. грн. при уточненому плані – 2188,3 тис. грн. (92,8%).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6EFF" w:rsidRPr="00F136A6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69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галузі культура і мистецтво видатки становлять 3579,3 тис. грн. при уточненому плані  3743,3 тис. грн. (95,6%).</w:t>
      </w:r>
    </w:p>
    <w:p w:rsidR="00856EFF" w:rsidRPr="00A67432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7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утримання ДЮСШ та проведення заходів з фізичної культури і спорту бюджетом на 9 місяців </w:t>
      </w:r>
      <w:r w:rsidRPr="00A6743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201</w:t>
      </w:r>
      <w:r w:rsidRPr="00A67432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A6743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передбачені  кошти в сумі 2525,3  тис. грн., фактично використано 1919,6 тис. грн. (76,0%).</w:t>
      </w:r>
    </w:p>
    <w:p w:rsidR="00856EFF" w:rsidRPr="00F136A6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A4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соціальний захист та соціальне забезпечення заплановано в бюджеті на  9 місяців</w:t>
      </w:r>
      <w:r w:rsidRPr="00F26A4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201</w:t>
      </w:r>
      <w:r w:rsidRPr="00F26A4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26A4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року</w:t>
      </w:r>
      <w:r w:rsidRPr="00F26A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4367,2 тис. грн., фактично використано –  3925,0 тис. грн. (89,9%), у тому числі на утримання новоствореного центру соціальних послуг передбачено – 2808,5, фактично використано – 2628,2 тис. грн. (93,6%).</w:t>
      </w:r>
    </w:p>
    <w:p w:rsidR="00856EFF" w:rsidRPr="00F136A6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9 місяців  2019 року </w:t>
      </w:r>
      <w:proofErr w:type="spell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11852,4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тис.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грн. при уточнен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плані на вказаний період 17533,8 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тис</w:t>
      </w:r>
      <w:proofErr w:type="gram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  <w:proofErr w:type="gram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</w:t>
      </w:r>
      <w:proofErr w:type="gram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рн., </w:t>
      </w:r>
      <w:proofErr w:type="spellStart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67,6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6EFF" w:rsidRPr="00AE54E7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Значну частину становлять видатки по </w:t>
      </w:r>
      <w:proofErr w:type="spellStart"/>
      <w:r w:rsidRPr="00AE54E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житлово-комунальному</w:t>
      </w:r>
      <w:proofErr w:type="spellEnd"/>
      <w:r w:rsidRPr="00AE54E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AE54E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господарству</w:t>
      </w:r>
      <w:proofErr w:type="spellEnd"/>
      <w:r w:rsidRPr="00AE54E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39,0 %,</w:t>
      </w:r>
      <w:r w:rsidRPr="00AE5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економічна діяльність – 34,7 %,</w:t>
      </w:r>
      <w:r w:rsidRPr="00AE54E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по </w:t>
      </w:r>
      <w:r w:rsidRPr="00AE5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галузі освіта – 20,6%, у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0,9 %, культура і мистецтво –  2,3 %, соціальний захист та соціальне забезпечення – 2,1 %. </w:t>
      </w:r>
    </w:p>
    <w:p w:rsidR="00856EFF" w:rsidRPr="00F136A6" w:rsidRDefault="00856EFF" w:rsidP="00856EFF">
      <w:pPr>
        <w:suppressAutoHyphens/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AE54E7">
        <w:rPr>
          <w:rFonts w:ascii="TimesNewRomanPSMT" w:hAnsi="TimesNewRomanPSMT"/>
          <w:color w:val="000000"/>
          <w:sz w:val="28"/>
          <w:szCs w:val="28"/>
        </w:rPr>
        <w:t>Структура видатків бюджету громади за 9 місяців 2019 року за всіма галузями характеризується даними, наведеними у рис.4.</w:t>
      </w:r>
    </w:p>
    <w:p w:rsidR="00856EFF" w:rsidRDefault="00856EFF" w:rsidP="00856EF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Рис. 4.  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9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місяців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2019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856EFF" w:rsidRPr="00F136A6" w:rsidRDefault="00856EFF" w:rsidP="0085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FF" w:rsidRPr="00F136A6" w:rsidRDefault="00856EFF" w:rsidP="00856EFF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F136A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B8B4679" wp14:editId="091B83E0">
            <wp:extent cx="6200775" cy="52959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56EFF" w:rsidRPr="00F136A6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856EFF" w:rsidRDefault="00856EFF" w:rsidP="00856E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6EFF" w:rsidRDefault="00856EFF" w:rsidP="00856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FF" w:rsidRPr="008C5EF1" w:rsidRDefault="00856EFF" w:rsidP="00856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фінансуванні бюджетних установ та закладів за 9 місяців 2019 року в першочерговому порядку фінансувались видатки по захищених статтях витрат, визначених рішенням </w:t>
      </w:r>
      <w:proofErr w:type="spellStart"/>
      <w:r w:rsidRPr="008C5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proofErr w:type="spellEnd"/>
      <w:r w:rsidRPr="008C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19.12.2018 року №1136 "Про  бюджет </w:t>
      </w:r>
      <w:proofErr w:type="spellStart"/>
      <w:r w:rsidRPr="008C5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proofErr w:type="spellEnd"/>
      <w:r w:rsidRPr="008C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об'єднаної територіальної громади на    2019 рік", </w:t>
      </w:r>
      <w:r w:rsidRPr="008C5EF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видатки загального фонду  яких становлять 94022,2 тис. грн., що складає 88,7% від загального обсягу видатків, у тому числі на оплату праці і нарахування на заробітну плату – 67205,9 тис. грн. (63,4%), на медикаменти та перев`язувальні матеріали – 3,7 тис. грн., на продукти харчування –               2306,5 тис. грн. (2,2%), оплату комунальних послуг та енергоносіїв –             13222,5 тис. грн. (12,5%), поточні трансферти органам державного управління інших рівнів – 10767,5 тис. грн. (10,2%), інші виплати населенню – 516,1тис. грн. (0,5%).</w:t>
      </w:r>
    </w:p>
    <w:p w:rsidR="00856EFF" w:rsidRPr="00FC010F" w:rsidRDefault="00856EFF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9 місяців 2019 року забезпечено своєчасну виплату заробітної плати працівникам бюджетних установ та стовідсоткову оплату за спожиті бюджетними </w:t>
      </w:r>
      <w:r w:rsidRPr="004412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установами енергоносії і комунальні послуги, </w:t>
      </w:r>
      <w:r w:rsidRPr="0044120F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856EFF" w:rsidRPr="00F136A6" w:rsidRDefault="00856EFF" w:rsidP="00856E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11852,4 тис. грн., з них найвагоміші: придбання обладнання і предметів довгострокового користування – 4781,3 тис. грн. (40,3%), </w:t>
      </w:r>
      <w:r w:rsidRPr="00611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них найбільші: </w:t>
      </w:r>
      <w:r w:rsidRPr="00033454">
        <w:rPr>
          <w:rFonts w:ascii="Times New Roman" w:hAnsi="Times New Roman"/>
          <w:sz w:val="28"/>
          <w:szCs w:val="28"/>
        </w:rPr>
        <w:t>придбання комплекту виробів кімнатних ігор для сенсорних кімнат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54">
        <w:rPr>
          <w:rFonts w:ascii="Times New Roman" w:hAnsi="Times New Roman"/>
          <w:sz w:val="28"/>
          <w:szCs w:val="28"/>
        </w:rPr>
        <w:t xml:space="preserve">для дошкільних закладів у сумі 37,0 </w:t>
      </w:r>
      <w:proofErr w:type="spellStart"/>
      <w:r w:rsidRPr="00033454">
        <w:rPr>
          <w:rFonts w:ascii="Times New Roman" w:hAnsi="Times New Roman"/>
          <w:sz w:val="28"/>
          <w:szCs w:val="28"/>
        </w:rPr>
        <w:t>тис.грн</w:t>
      </w:r>
      <w:proofErr w:type="spellEnd"/>
      <w:r w:rsidRPr="00033454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у тому числі </w:t>
      </w:r>
      <w:r w:rsidRPr="00CE04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рахунок субвенції з місцевого (обласного) бюджету </w:t>
      </w:r>
      <w:r w:rsidRPr="00FA4DD6">
        <w:rPr>
          <w:rFonts w:ascii="Times New Roman" w:hAnsi="Times New Roman" w:cs="Times New Roman"/>
          <w:sz w:val="28"/>
          <w:szCs w:val="28"/>
        </w:rPr>
        <w:t>на надання державної підтримки особам з особливими освітніми потребами за рахунок відповідної субвенції з державного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 w:rsidRPr="00702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сумі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30,0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33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114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придбання комплекту мультимедійного обладнання,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11BD">
        <w:rPr>
          <w:rFonts w:ascii="Times New Roman" w:hAnsi="Times New Roman"/>
          <w:sz w:val="28"/>
          <w:szCs w:val="28"/>
        </w:rPr>
        <w:t>придбання комплекту виробів кімнатних ігор для сенсорних кімнат</w:t>
      </w:r>
      <w:r>
        <w:rPr>
          <w:rFonts w:ascii="Times New Roman" w:hAnsi="Times New Roman"/>
          <w:sz w:val="28"/>
          <w:szCs w:val="28"/>
        </w:rPr>
        <w:t>,</w:t>
      </w:r>
      <w:r w:rsidRPr="004D11BD">
        <w:rPr>
          <w:rFonts w:ascii="Times New Roman" w:hAnsi="Times New Roman"/>
          <w:sz w:val="24"/>
          <w:szCs w:val="24"/>
        </w:rPr>
        <w:t xml:space="preserve"> </w:t>
      </w:r>
      <w:r w:rsidRPr="004D11BD">
        <w:rPr>
          <w:rFonts w:ascii="Times New Roman" w:hAnsi="Times New Roman"/>
          <w:sz w:val="28"/>
          <w:szCs w:val="28"/>
        </w:rPr>
        <w:t>придбання</w:t>
      </w:r>
      <w:r w:rsidRPr="004D11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D11BD">
        <w:rPr>
          <w:rFonts w:ascii="Times New Roman" w:hAnsi="Times New Roman"/>
          <w:sz w:val="28"/>
          <w:szCs w:val="28"/>
        </w:rPr>
        <w:t>принтерів та ноутбуків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B7105">
        <w:rPr>
          <w:rFonts w:ascii="Times New Roman" w:hAnsi="Times New Roman"/>
          <w:sz w:val="24"/>
          <w:szCs w:val="24"/>
        </w:rPr>
        <w:t xml:space="preserve"> </w:t>
      </w:r>
      <w:r w:rsidRPr="003B7105">
        <w:rPr>
          <w:rFonts w:ascii="Times New Roman" w:hAnsi="Times New Roman"/>
          <w:sz w:val="28"/>
          <w:szCs w:val="28"/>
        </w:rPr>
        <w:t xml:space="preserve">придбання персональних </w:t>
      </w:r>
      <w:proofErr w:type="spellStart"/>
      <w:r w:rsidRPr="003B7105">
        <w:rPr>
          <w:rFonts w:ascii="Times New Roman" w:hAnsi="Times New Roman"/>
          <w:sz w:val="28"/>
          <w:szCs w:val="28"/>
        </w:rPr>
        <w:t>комп</w:t>
      </w:r>
      <w:proofErr w:type="spellEnd"/>
      <w:r w:rsidRPr="003B7105">
        <w:rPr>
          <w:rFonts w:ascii="Times New Roman" w:hAnsi="Times New Roman"/>
          <w:sz w:val="28"/>
          <w:szCs w:val="28"/>
        </w:rPr>
        <w:t>"</w:t>
      </w:r>
      <w:proofErr w:type="spellStart"/>
      <w:r w:rsidRPr="00B26A77">
        <w:rPr>
          <w:rFonts w:ascii="Times New Roman" w:hAnsi="Times New Roman"/>
          <w:sz w:val="28"/>
          <w:szCs w:val="28"/>
        </w:rPr>
        <w:t>ютерів</w:t>
      </w:r>
      <w:proofErr w:type="spellEnd"/>
      <w:r w:rsidRPr="00B26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загальноосвітніх закладів</w:t>
      </w:r>
      <w:r w:rsidRPr="001F2E16">
        <w:t xml:space="preserve"> </w:t>
      </w:r>
      <w:r>
        <w:t xml:space="preserve"> </w:t>
      </w:r>
      <w:r w:rsidRPr="009470EE">
        <w:rPr>
          <w:rFonts w:ascii="Times New Roman" w:hAnsi="Times New Roman" w:cs="Times New Roman"/>
          <w:sz w:val="28"/>
          <w:szCs w:val="28"/>
        </w:rPr>
        <w:t>та фінансування</w:t>
      </w:r>
      <w:r>
        <w:rPr>
          <w:sz w:val="28"/>
          <w:szCs w:val="28"/>
        </w:rPr>
        <w:t xml:space="preserve"> </w:t>
      </w:r>
      <w:r w:rsidRPr="001F2E16">
        <w:rPr>
          <w:sz w:val="28"/>
          <w:szCs w:val="28"/>
        </w:rPr>
        <w:t>і</w:t>
      </w:r>
      <w:r w:rsidRPr="001F2E16">
        <w:rPr>
          <w:rFonts w:ascii="Times New Roman" w:eastAsia="Times New Roman" w:hAnsi="Times New Roman" w:cs="Times New Roman"/>
          <w:sz w:val="28"/>
          <w:szCs w:val="28"/>
          <w:lang w:eastAsia="ar-SA"/>
        </w:rPr>
        <w:t>нших програм та заход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ів</w:t>
      </w:r>
      <w:r w:rsidRPr="001F2E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сфері освіти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сумі  539,9</w:t>
      </w:r>
      <w:r w:rsidRPr="00AC50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грн., 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>у т. ч. за рахунок субвенції з місцевого (обласного) бюджету за рахунок залишку коштів освітньої субвенції, що утворився на початок бюджетного періоду у сумі 89,0 тис. грн.,</w:t>
      </w:r>
      <w:r w:rsidRPr="00CE04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рахунок субвенції з місцевого (обласного) бюджету </w:t>
      </w:r>
      <w:r w:rsidRPr="00FA4DD6">
        <w:rPr>
          <w:rFonts w:ascii="Times New Roman" w:hAnsi="Times New Roman" w:cs="Times New Roman"/>
          <w:sz w:val="28"/>
          <w:szCs w:val="28"/>
        </w:rPr>
        <w:t>на надання державної підтримки особам з особливими освітніми потребами за рахунок відповідної субвенції з державного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 w:rsidRPr="00702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сумі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99,4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грн.,</w:t>
      </w:r>
      <w:r w:rsidRPr="00F945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04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рахунок субвенції з місцевого (обласного) бюджету </w:t>
      </w:r>
      <w:r w:rsidRPr="00F945F4">
        <w:rPr>
          <w:rFonts w:ascii="Times New Roman" w:hAnsi="Times New Roman" w:cs="Times New Roman"/>
          <w:sz w:val="28"/>
          <w:szCs w:val="28"/>
        </w:rPr>
        <w:t xml:space="preserve">на забезпечення якісної, сучасної та доступної загальної середньої освіти "Нова українська школа" за рахунок відповідної субвенції з державного 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сумі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126,2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Pr="00CE04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рахунок субвенції з місцевого (обласного) бюджету</w:t>
      </w:r>
      <w:r>
        <w:t xml:space="preserve"> </w:t>
      </w:r>
      <w:r w:rsidRPr="000F04B8">
        <w:rPr>
          <w:rFonts w:ascii="Times New Roman" w:hAnsi="Times New Roman" w:cs="Times New Roman"/>
          <w:sz w:val="28"/>
          <w:szCs w:val="28"/>
        </w:rPr>
        <w:t>на реалізацію заходів, спрямованих на підвищення якості освіти за рахунок відповідної субвенції з державного</w:t>
      </w:r>
      <w:r>
        <w:rPr>
          <w:rFonts w:ascii="Times New Roman" w:hAnsi="Times New Roman" w:cs="Times New Roman"/>
          <w:sz w:val="28"/>
          <w:szCs w:val="28"/>
        </w:rPr>
        <w:t xml:space="preserve"> бюджету</w:t>
      </w:r>
      <w:r>
        <w:t xml:space="preserve"> 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сумі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121,8</w:t>
      </w:r>
      <w:r w:rsidRPr="00BF78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тис. грн</w:t>
      </w:r>
      <w:r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>., придбання світлотехнічного обладнання по вуличному освітленню на суму 169,6 тис. грн., придбання ігрового майданчика,комплексу,каруселі (міні-проекти)</w:t>
      </w:r>
      <w:r w:rsidRPr="00A7341D">
        <w:t xml:space="preserve"> </w:t>
      </w:r>
      <w:r w:rsidRPr="00A7341D">
        <w:rPr>
          <w:sz w:val="28"/>
          <w:szCs w:val="28"/>
        </w:rPr>
        <w:t>та</w:t>
      </w:r>
      <w:r w:rsidRPr="00A7341D">
        <w:t xml:space="preserve"> </w:t>
      </w:r>
      <w:r w:rsidRPr="00A7341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виготовлення гойдалок,збірних конструкцій на суму 157,8 тис. грн.,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придбання контейнерів для ТПВ на суму 638,9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., для з</w:t>
      </w:r>
      <w:r w:rsidRPr="00C6735F">
        <w:rPr>
          <w:rFonts w:ascii="Times New Roman" w:eastAsia="Times New Roman" w:hAnsi="Times New Roman" w:cs="Times New Roman"/>
          <w:sz w:val="28"/>
          <w:szCs w:val="28"/>
          <w:lang w:eastAsia="ar-SA"/>
        </w:rPr>
        <w:t>абезпечення діяльності водопровідно-каналізаційного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було придбано товарів на суму 123,8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., а саме насоси, трансформатор та лебідка.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Завдяки співпраці </w:t>
      </w:r>
      <w:r>
        <w:rPr>
          <w:rFonts w:ascii="Times New Roman" w:hAnsi="Times New Roman"/>
          <w:sz w:val="28"/>
          <w:szCs w:val="28"/>
        </w:rPr>
        <w:t xml:space="preserve">громади з проектом DOBRE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завершено реалізацію проекту </w:t>
      </w:r>
      <w:proofErr w:type="spellStart"/>
      <w:r>
        <w:rPr>
          <w:rFonts w:ascii="Times New Roman" w:hAnsi="Times New Roman"/>
          <w:sz w:val="28"/>
          <w:szCs w:val="28"/>
        </w:rPr>
        <w:t>скейт-парк</w:t>
      </w:r>
      <w:proofErr w:type="spellEnd"/>
      <w:r>
        <w:rPr>
          <w:rFonts w:ascii="Times New Roman" w:hAnsi="Times New Roman"/>
          <w:sz w:val="28"/>
          <w:szCs w:val="28"/>
        </w:rPr>
        <w:t xml:space="preserve">, який взято на облік на суму 605,7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., також р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еалізується проект </w:t>
      </w:r>
      <w:r>
        <w:rPr>
          <w:rFonts w:ascii="Times New Roman" w:hAnsi="Times New Roman"/>
          <w:sz w:val="28"/>
          <w:szCs w:val="28"/>
        </w:rPr>
        <w:t xml:space="preserve">"Вдосконалення системи вивезення ТПВ від багатоповерхових будинків із запровадженням роздільного збору сміття", за кошти програми придбано сміттєвоз вартістю 1819,2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за рахунок коштів міського бюджету було придбано контейнери для роздільного сміття та </w:t>
      </w:r>
      <w:proofErr w:type="spellStart"/>
      <w:r>
        <w:rPr>
          <w:rFonts w:ascii="Times New Roman" w:hAnsi="Times New Roman"/>
          <w:sz w:val="28"/>
          <w:szCs w:val="28"/>
        </w:rPr>
        <w:t>облаштовано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майданчики біля багатоповерхових будинків для збору ТПВ;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капітальне будівництво (придбання) інших об`єктів – 1461,4 тис. грн. (12,3%),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F60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т.ч. 1446,4 тис. грн. використано на   будівництво блочно-модульної транспортабельної котельні у філії "Загальноосвітня школа №3" </w:t>
      </w:r>
      <w:proofErr w:type="spellStart"/>
      <w:r w:rsidRPr="006F601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Новоукраїнської</w:t>
      </w:r>
      <w:proofErr w:type="spellEnd"/>
      <w:r w:rsidRPr="006F60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загальноосвітньої школи І-ІІІ ступенів №6 </w:t>
      </w:r>
      <w:proofErr w:type="spellStart"/>
      <w:r w:rsidRPr="006F601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Новоукраїнської</w:t>
      </w:r>
      <w:proofErr w:type="spellEnd"/>
      <w:r w:rsidRPr="006F60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ради, за адресою: Кіровоградська область м. Новоукраїнка, вул. Миколи Вороного,169, з них за рахунок залишку коштів субвенції з державного бюджету міському бюджету на здійснення заходів щодо соціально-економічного розвитку окремих територій у сумі -  1013,1 тис. грн.;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капітальний ремонт – 1670,6 тис. грн.(14,1%), у т.ч. </w:t>
      </w:r>
      <w:r w:rsidRPr="00D978C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капітальний ремонт тротуару з плитки ФЕМ вул. М. Вороного на суму 1132,5 тис. грн. та виконано роботи по капітальному ремонту тротуару з плитки ФЕМ по вул. Гагаріна на суму 305,5 тис. грн.,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тому числі за рахунок </w:t>
      </w:r>
      <w:r w:rsidRPr="00D978C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978C8">
        <w:rPr>
          <w:rFonts w:ascii="Times New Roman" w:hAnsi="Times New Roman" w:cs="Times New Roman"/>
          <w:sz w:val="28"/>
          <w:szCs w:val="28"/>
        </w:rPr>
        <w:t xml:space="preserve">убвенції з державного бюджету місцевим бюджетам на формування інфраструктури </w:t>
      </w:r>
      <w:r w:rsidRPr="00D978C8">
        <w:rPr>
          <w:rFonts w:ascii="Times New Roman" w:hAnsi="Times New Roman" w:cs="Times New Roman"/>
          <w:sz w:val="28"/>
          <w:szCs w:val="28"/>
        </w:rPr>
        <w:lastRenderedPageBreak/>
        <w:t>об'єднаних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 у сумі 300,1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реконструкція та реставрація – 2222,9 тис. грн.(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18,8</w:t>
      </w:r>
      <w:r w:rsidRPr="00F11861">
        <w:rPr>
          <w:rFonts w:ascii="Times New Roman" w:eastAsia="Times New Roman" w:hAnsi="Times New Roman" w:cs="Times New Roman"/>
          <w:sz w:val="28"/>
          <w:szCs w:val="28"/>
          <w:lang w:eastAsia="ar-SA"/>
        </w:rPr>
        <w:t>%),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саме  реконструкція частини будівлі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Воронівської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філії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Новоукраїнського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навчально-виховного комплексу №8 "Загальноосвітня школа І-ІІІ ступенів - дошкільний навчальний заклад" під філію "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Воронівський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дошкільний навчальний заклад у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с.Воронівка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Новоукраїнського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Кіровоградської області", проект, який реалізовувався у 2018 році за рахунок коштів державного бюджету на формування інфраструктури об’єднаних територіальних громад у 2018 році і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співфінансування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бюджету </w:t>
      </w:r>
      <w:proofErr w:type="spellStart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Новоукраїнської</w:t>
      </w:r>
      <w:proofErr w:type="spellEnd"/>
      <w:r w:rsidRPr="00C60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об'єднаної територіальної громади  та є перехідним на 2019 рік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C6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завершення робіт здійснювалося</w:t>
      </w:r>
      <w:r w:rsidRPr="00C6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 рахунок коштів бюджету громади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 сумі 690,2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.,  на реконструкцію вуличного освітлення громади витрачено коштів у сумі 1532,6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., у тому числі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рахунок </w:t>
      </w:r>
      <w:r w:rsidRPr="00D978C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978C8">
        <w:rPr>
          <w:rFonts w:ascii="Times New Roman" w:hAnsi="Times New Roman" w:cs="Times New Roman"/>
          <w:sz w:val="28"/>
          <w:szCs w:val="28"/>
        </w:rPr>
        <w:t>убвенції з державного бюджету місцевим бюджетам на формування інфраструктури об'єднаних територіальних громад</w:t>
      </w:r>
      <w:r>
        <w:rPr>
          <w:rFonts w:ascii="Times New Roman" w:hAnsi="Times New Roman" w:cs="Times New Roman"/>
          <w:sz w:val="28"/>
          <w:szCs w:val="28"/>
        </w:rPr>
        <w:t xml:space="preserve"> у сумі 1300,0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A6758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0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капітальні трансферти – 31,4 тис. грн. (0,3%),</w:t>
      </w:r>
      <w:r w:rsidRPr="002D4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саме </w:t>
      </w:r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субвенція обласному бюджету для </w:t>
      </w:r>
      <w:proofErr w:type="spellStart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співфінансування</w:t>
      </w:r>
      <w:proofErr w:type="spellEnd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проекту "Спортивного майданчика для міні-футболу зі штучним покриттям у </w:t>
      </w:r>
      <w:proofErr w:type="spellStart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Новоукраїнському</w:t>
      </w:r>
      <w:proofErr w:type="spellEnd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навчально-виховному комплексі № 8 "Загальноосвітня школа І-ІІІ ступенів – дошкільний навчальний заклад" розташованого за адресою: Кіровоградська область, вул. </w:t>
      </w:r>
      <w:proofErr w:type="spellStart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Павлівська</w:t>
      </w:r>
      <w:proofErr w:type="spellEnd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14 м. </w:t>
      </w:r>
      <w:proofErr w:type="spellStart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Новоукраїнка-реконструкція</w:t>
      </w:r>
      <w:proofErr w:type="spellEnd"/>
      <w:r w:rsidRPr="007756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(з виготовленням проектно-кошторисної документації) на закінчення робіт по даному проекту, який реалізовувався у 2018 році за рахунок коштів державного бюджету на виконання  бюджетної програми "Будівництво футбольних полів зі штучним покриттям в регіонах України" та є перехідним у 2019 році. Головним розпорядником коштів є Кіровоградська обласна державна адміністрація, замовником та виконавцем робіт - управління капітального будівництва Кіровоградської обласної державної адміністрації.</w:t>
      </w:r>
    </w:p>
    <w:p w:rsidR="00856EFF" w:rsidRDefault="00856EFF" w:rsidP="00856E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11861">
        <w:rPr>
          <w:rFonts w:ascii="TimesNewRomanPSMT" w:hAnsi="TimesNewRomanPSMT"/>
          <w:color w:val="000000"/>
          <w:sz w:val="28"/>
          <w:szCs w:val="28"/>
        </w:rPr>
        <w:t>Структура видатків бюджету громади за 9 місяців 2019 року за економічною класифікацією характеризується даними, наведеними у рис.5.</w:t>
      </w:r>
    </w:p>
    <w:p w:rsidR="00856EFF" w:rsidRPr="00F136A6" w:rsidRDefault="00856EFF" w:rsidP="00856EF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Рис. 5.  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9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місяців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2019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856EFF" w:rsidRDefault="00856EFF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856EFF" w:rsidRPr="00F136A6" w:rsidRDefault="00856EFF" w:rsidP="00856E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FF" w:rsidRPr="00F136A6" w:rsidRDefault="00856EFF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</w:pPr>
      <w:r w:rsidRPr="00077BE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uk-UA"/>
        </w:rPr>
        <w:drawing>
          <wp:inline distT="0" distB="0" distL="0" distR="0" wp14:anchorId="7F9EDBC6" wp14:editId="0C622C00">
            <wp:extent cx="6429375" cy="6172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56EFF" w:rsidRDefault="00856EFF" w:rsidP="00856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</w:p>
    <w:p w:rsidR="00856EFF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Підводячи підсумки виконання бюджету міської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'єднаної територіальної громади </w:t>
      </w: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місяців </w:t>
      </w:r>
      <w:r w:rsidRPr="00704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поточного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117866,3 </w:t>
      </w:r>
      <w:proofErr w:type="spellStart"/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101,4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суму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117876,0 тис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рн.,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86,0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:rsidR="00856EFF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місяців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року по заробітній платі працівникам бюджетної сфери, що фінансуються з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</w:t>
      </w:r>
      <w:r w:rsidRPr="00C2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своєчасно та в повному обсязі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таном на 01.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аборгован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ість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заробітній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платі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нарахуваннями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відсутня</w:t>
      </w:r>
      <w:proofErr w:type="spellEnd"/>
      <w:r w:rsidRPr="00A97D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45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6EFF" w:rsidRPr="00011C1A" w:rsidRDefault="00856EFF" w:rsidP="00856E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3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Pr="00B30A4E">
        <w:rPr>
          <w:rFonts w:ascii="Times New Roman" w:eastAsia="Times New Roman" w:hAnsi="Times New Roman" w:cs="Times New Roman"/>
          <w:sz w:val="28"/>
          <w:szCs w:val="28"/>
          <w:lang w:eastAsia="ru-RU"/>
        </w:rPr>
        <w:t>9 місяців</w:t>
      </w:r>
      <w:r w:rsidRPr="00B30A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2019 року відсутня </w:t>
      </w:r>
      <w:r w:rsidRPr="00B3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кредиторська заборгованість по загальному фонду та існує кредиторська заборгованість по спеціальному фонду у сумі    1816,8 </w:t>
      </w:r>
      <w:proofErr w:type="spellStart"/>
      <w:r w:rsidRPr="00B30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3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472B">
        <w:rPr>
          <w:rFonts w:ascii="Times New Roman" w:hAnsi="Times New Roman"/>
          <w:sz w:val="28"/>
          <w:szCs w:val="28"/>
        </w:rPr>
        <w:t>по об</w:t>
      </w:r>
      <w:r>
        <w:rPr>
          <w:rFonts w:ascii="Times New Roman" w:hAnsi="Times New Roman"/>
          <w:sz w:val="28"/>
          <w:szCs w:val="28"/>
        </w:rPr>
        <w:t>'</w:t>
      </w:r>
      <w:r w:rsidRPr="00C9472B">
        <w:rPr>
          <w:rFonts w:ascii="Times New Roman" w:hAnsi="Times New Roman"/>
          <w:sz w:val="28"/>
          <w:szCs w:val="28"/>
        </w:rPr>
        <w:t>єкту "Реконструкція очисних споруд по вул.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72B">
        <w:rPr>
          <w:rFonts w:ascii="Times New Roman" w:hAnsi="Times New Roman"/>
          <w:sz w:val="28"/>
          <w:szCs w:val="28"/>
        </w:rPr>
        <w:t xml:space="preserve">Мокряка у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9472B">
        <w:rPr>
          <w:rFonts w:ascii="Times New Roman" w:hAnsi="Times New Roman"/>
          <w:sz w:val="28"/>
          <w:szCs w:val="28"/>
        </w:rPr>
        <w:lastRenderedPageBreak/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72B">
        <w:rPr>
          <w:rFonts w:ascii="Times New Roman" w:hAnsi="Times New Roman"/>
          <w:sz w:val="28"/>
          <w:szCs w:val="28"/>
        </w:rPr>
        <w:t>Новоукраїнка, Кіровоградської обл., продуктивністю 200 м3/</w:t>
      </w:r>
      <w:proofErr w:type="spellStart"/>
      <w:r w:rsidRPr="00C9472B">
        <w:rPr>
          <w:rFonts w:ascii="Times New Roman" w:hAnsi="Times New Roman"/>
          <w:sz w:val="28"/>
          <w:szCs w:val="28"/>
        </w:rPr>
        <w:t>доб</w:t>
      </w:r>
      <w:proofErr w:type="spellEnd"/>
      <w:r w:rsidRPr="00C9472B">
        <w:rPr>
          <w:rFonts w:ascii="Times New Roman" w:hAnsi="Times New Roman"/>
          <w:sz w:val="28"/>
          <w:szCs w:val="28"/>
        </w:rPr>
        <w:t>. (Коригування)"</w:t>
      </w:r>
      <w:r>
        <w:rPr>
          <w:rFonts w:ascii="Times New Roman" w:hAnsi="Times New Roman"/>
          <w:sz w:val="28"/>
          <w:szCs w:val="28"/>
        </w:rPr>
        <w:t>, який виконується за рахунок с</w:t>
      </w:r>
      <w:r w:rsidRPr="00011C1A">
        <w:rPr>
          <w:rFonts w:ascii="Times New Roman" w:hAnsi="Times New Roman" w:cs="Times New Roman"/>
          <w:sz w:val="28"/>
          <w:szCs w:val="28"/>
        </w:rPr>
        <w:t>убвенці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11C1A">
        <w:rPr>
          <w:rFonts w:ascii="Times New Roman" w:hAnsi="Times New Roman" w:cs="Times New Roman"/>
          <w:sz w:val="28"/>
          <w:szCs w:val="28"/>
        </w:rPr>
        <w:t xml:space="preserve"> з державного бюджету місцевим бюджетам на здійснення заходів щодо соціально-економічного розвитку окремих територій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громади. Дані кошти субвенції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оплочені</w:t>
      </w:r>
      <w:proofErr w:type="spellEnd"/>
      <w:r w:rsidRPr="00814E89">
        <w:rPr>
          <w:rFonts w:ascii="Times New Roman" w:hAnsi="Times New Roman"/>
          <w:sz w:val="28"/>
          <w:szCs w:val="28"/>
        </w:rPr>
        <w:t xml:space="preserve"> </w:t>
      </w:r>
      <w:r w:rsidRPr="00C9472B">
        <w:rPr>
          <w:rFonts w:ascii="Times New Roman" w:hAnsi="Times New Roman"/>
          <w:sz w:val="28"/>
          <w:szCs w:val="28"/>
        </w:rPr>
        <w:t xml:space="preserve">органами ДКСУ у </w:t>
      </w:r>
      <w:proofErr w:type="spellStart"/>
      <w:r w:rsidRPr="00C9472B">
        <w:rPr>
          <w:rFonts w:ascii="Times New Roman" w:hAnsi="Times New Roman"/>
          <w:sz w:val="28"/>
          <w:szCs w:val="28"/>
        </w:rPr>
        <w:t>Новоукраїнському</w:t>
      </w:r>
      <w:proofErr w:type="spellEnd"/>
      <w:r w:rsidRPr="00C9472B">
        <w:rPr>
          <w:rFonts w:ascii="Times New Roman" w:hAnsi="Times New Roman"/>
          <w:sz w:val="28"/>
          <w:szCs w:val="28"/>
        </w:rPr>
        <w:t xml:space="preserve"> районі.</w:t>
      </w:r>
    </w:p>
    <w:p w:rsidR="00856EFF" w:rsidRDefault="00B2509A" w:rsidP="00B2509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Станом на 01 жовтня 2019 року існує дебіторська заборгованість  по загальному фонду у сумі 47,6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у тому числі: по придбанню предметів, матеріалів, обладнання та інвентарю (передплата періодичних видань) –           39,0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 по видатках на відрядження – 8,6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Також існує дебіторська заборгованість  по спеціальному фонду у сумі 243,5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у тому числі: по придбанню продуктів харчування – 135,1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 по видатках на капітальний ремонт інших об'єктів – 108,4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56EFF" w:rsidRDefault="00856EFF" w:rsidP="00856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6EFF" w:rsidRDefault="00856EFF" w:rsidP="00856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509A" w:rsidRDefault="00B2509A" w:rsidP="00856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856EFF" w:rsidRDefault="00856EFF" w:rsidP="00856E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А. </w:t>
      </w:r>
      <w:proofErr w:type="spellStart"/>
      <w:r w:rsidRPr="00F136A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Колпак</w:t>
      </w:r>
      <w:proofErr w:type="spellEnd"/>
      <w:r w:rsidRPr="007E78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</w:p>
    <w:p w:rsidR="00161B09" w:rsidRDefault="007E7863" w:rsidP="00856EFF">
      <w:pPr>
        <w:suppressAutoHyphens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</w:p>
    <w:sectPr w:rsidR="00161B09" w:rsidSect="006C6B85">
      <w:pgSz w:w="11906" w:h="16838"/>
      <w:pgMar w:top="567" w:right="567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65" w:rsidRDefault="00BC4265" w:rsidP="00A9228A">
      <w:pPr>
        <w:spacing w:after="0" w:line="240" w:lineRule="auto"/>
      </w:pPr>
      <w:r>
        <w:separator/>
      </w:r>
    </w:p>
  </w:endnote>
  <w:endnote w:type="continuationSeparator" w:id="0">
    <w:p w:rsidR="00BC4265" w:rsidRDefault="00BC4265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65" w:rsidRDefault="00BC4265" w:rsidP="00A9228A">
      <w:pPr>
        <w:spacing w:after="0" w:line="240" w:lineRule="auto"/>
      </w:pPr>
      <w:r>
        <w:separator/>
      </w:r>
    </w:p>
  </w:footnote>
  <w:footnote w:type="continuationSeparator" w:id="0">
    <w:p w:rsidR="00BC4265" w:rsidRDefault="00BC4265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6098"/>
    <w:rsid w:val="00006B4A"/>
    <w:rsid w:val="00007543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31E3"/>
    <w:rsid w:val="000736EC"/>
    <w:rsid w:val="00077BE0"/>
    <w:rsid w:val="00080C0F"/>
    <w:rsid w:val="00080D4C"/>
    <w:rsid w:val="00087E76"/>
    <w:rsid w:val="0009293C"/>
    <w:rsid w:val="000950DF"/>
    <w:rsid w:val="0009530A"/>
    <w:rsid w:val="000A177F"/>
    <w:rsid w:val="000A290B"/>
    <w:rsid w:val="000B64CF"/>
    <w:rsid w:val="000C1C52"/>
    <w:rsid w:val="000C23B0"/>
    <w:rsid w:val="000C4FF5"/>
    <w:rsid w:val="000C7F73"/>
    <w:rsid w:val="000D05AD"/>
    <w:rsid w:val="000D103D"/>
    <w:rsid w:val="000D64A2"/>
    <w:rsid w:val="000E5E56"/>
    <w:rsid w:val="000E5EFC"/>
    <w:rsid w:val="000E6D40"/>
    <w:rsid w:val="000F4575"/>
    <w:rsid w:val="000F68B6"/>
    <w:rsid w:val="001002FF"/>
    <w:rsid w:val="00101548"/>
    <w:rsid w:val="001026B3"/>
    <w:rsid w:val="00110664"/>
    <w:rsid w:val="0011207F"/>
    <w:rsid w:val="001124F1"/>
    <w:rsid w:val="00112528"/>
    <w:rsid w:val="00114DB4"/>
    <w:rsid w:val="00115626"/>
    <w:rsid w:val="001159FA"/>
    <w:rsid w:val="00120A55"/>
    <w:rsid w:val="00121F72"/>
    <w:rsid w:val="00122FFE"/>
    <w:rsid w:val="001253C4"/>
    <w:rsid w:val="001279AA"/>
    <w:rsid w:val="0013002D"/>
    <w:rsid w:val="0013268B"/>
    <w:rsid w:val="00132B5A"/>
    <w:rsid w:val="00132FE2"/>
    <w:rsid w:val="001407D6"/>
    <w:rsid w:val="001413FC"/>
    <w:rsid w:val="00144370"/>
    <w:rsid w:val="00151680"/>
    <w:rsid w:val="00153461"/>
    <w:rsid w:val="00157A1F"/>
    <w:rsid w:val="001601F6"/>
    <w:rsid w:val="00161B09"/>
    <w:rsid w:val="00163DF8"/>
    <w:rsid w:val="001654B5"/>
    <w:rsid w:val="00165795"/>
    <w:rsid w:val="00170FCF"/>
    <w:rsid w:val="00176952"/>
    <w:rsid w:val="00177375"/>
    <w:rsid w:val="001775EF"/>
    <w:rsid w:val="00181278"/>
    <w:rsid w:val="001823E1"/>
    <w:rsid w:val="00184F86"/>
    <w:rsid w:val="00186EE2"/>
    <w:rsid w:val="00194E16"/>
    <w:rsid w:val="00196B16"/>
    <w:rsid w:val="001A0041"/>
    <w:rsid w:val="001A1556"/>
    <w:rsid w:val="001A1845"/>
    <w:rsid w:val="001A2A8B"/>
    <w:rsid w:val="001A3E44"/>
    <w:rsid w:val="001A4F21"/>
    <w:rsid w:val="001A5EAA"/>
    <w:rsid w:val="001A684B"/>
    <w:rsid w:val="001B55C2"/>
    <w:rsid w:val="001C21B6"/>
    <w:rsid w:val="001C2B66"/>
    <w:rsid w:val="001C4096"/>
    <w:rsid w:val="001C4E02"/>
    <w:rsid w:val="001D177A"/>
    <w:rsid w:val="001D69D3"/>
    <w:rsid w:val="001D6DE6"/>
    <w:rsid w:val="001E3809"/>
    <w:rsid w:val="001E41BF"/>
    <w:rsid w:val="001E4CE0"/>
    <w:rsid w:val="001E7280"/>
    <w:rsid w:val="001E79E8"/>
    <w:rsid w:val="001E7ACA"/>
    <w:rsid w:val="001F0078"/>
    <w:rsid w:val="001F10FC"/>
    <w:rsid w:val="001F20EE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40D30"/>
    <w:rsid w:val="00250A2F"/>
    <w:rsid w:val="00253A62"/>
    <w:rsid w:val="00253AA7"/>
    <w:rsid w:val="00257082"/>
    <w:rsid w:val="00260979"/>
    <w:rsid w:val="00261DDE"/>
    <w:rsid w:val="00264002"/>
    <w:rsid w:val="002660D0"/>
    <w:rsid w:val="00273E59"/>
    <w:rsid w:val="00274B3A"/>
    <w:rsid w:val="00275B15"/>
    <w:rsid w:val="00275CE6"/>
    <w:rsid w:val="002769A0"/>
    <w:rsid w:val="00277912"/>
    <w:rsid w:val="00280294"/>
    <w:rsid w:val="00280B2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722B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746B"/>
    <w:rsid w:val="002C7D02"/>
    <w:rsid w:val="002D16B2"/>
    <w:rsid w:val="002D1F9D"/>
    <w:rsid w:val="002E500E"/>
    <w:rsid w:val="002F1D23"/>
    <w:rsid w:val="002F6A0A"/>
    <w:rsid w:val="00300272"/>
    <w:rsid w:val="003013E9"/>
    <w:rsid w:val="0030165E"/>
    <w:rsid w:val="0030204D"/>
    <w:rsid w:val="003120DD"/>
    <w:rsid w:val="00312550"/>
    <w:rsid w:val="003135C1"/>
    <w:rsid w:val="00313A8A"/>
    <w:rsid w:val="003200C7"/>
    <w:rsid w:val="003201E3"/>
    <w:rsid w:val="00321692"/>
    <w:rsid w:val="003216D9"/>
    <w:rsid w:val="0032314C"/>
    <w:rsid w:val="00323310"/>
    <w:rsid w:val="003240C7"/>
    <w:rsid w:val="00325FAA"/>
    <w:rsid w:val="00326CA1"/>
    <w:rsid w:val="00327AF7"/>
    <w:rsid w:val="00332998"/>
    <w:rsid w:val="0033364E"/>
    <w:rsid w:val="003338C6"/>
    <w:rsid w:val="00336319"/>
    <w:rsid w:val="00336AE7"/>
    <w:rsid w:val="0034731A"/>
    <w:rsid w:val="00351367"/>
    <w:rsid w:val="00360D14"/>
    <w:rsid w:val="00360EB5"/>
    <w:rsid w:val="00363982"/>
    <w:rsid w:val="003716F4"/>
    <w:rsid w:val="00374D74"/>
    <w:rsid w:val="0037589F"/>
    <w:rsid w:val="0038314E"/>
    <w:rsid w:val="00383265"/>
    <w:rsid w:val="00391602"/>
    <w:rsid w:val="00393504"/>
    <w:rsid w:val="00393CF7"/>
    <w:rsid w:val="00397891"/>
    <w:rsid w:val="003A15FE"/>
    <w:rsid w:val="003A1627"/>
    <w:rsid w:val="003A174C"/>
    <w:rsid w:val="003B1D71"/>
    <w:rsid w:val="003B333C"/>
    <w:rsid w:val="003B44BE"/>
    <w:rsid w:val="003B718F"/>
    <w:rsid w:val="003B740B"/>
    <w:rsid w:val="003B76E2"/>
    <w:rsid w:val="003C1348"/>
    <w:rsid w:val="003C1F35"/>
    <w:rsid w:val="003C3C73"/>
    <w:rsid w:val="003C42CA"/>
    <w:rsid w:val="003D1DCD"/>
    <w:rsid w:val="003D23F3"/>
    <w:rsid w:val="003D43C8"/>
    <w:rsid w:val="003D6EF3"/>
    <w:rsid w:val="003E038D"/>
    <w:rsid w:val="003E17F4"/>
    <w:rsid w:val="003E2BB4"/>
    <w:rsid w:val="003E3AC4"/>
    <w:rsid w:val="003E596D"/>
    <w:rsid w:val="003E78A6"/>
    <w:rsid w:val="003E797C"/>
    <w:rsid w:val="003F1AE5"/>
    <w:rsid w:val="003F4615"/>
    <w:rsid w:val="003F71B1"/>
    <w:rsid w:val="004115BB"/>
    <w:rsid w:val="00413175"/>
    <w:rsid w:val="00413B3A"/>
    <w:rsid w:val="00415D66"/>
    <w:rsid w:val="004232D8"/>
    <w:rsid w:val="0042375A"/>
    <w:rsid w:val="004252E4"/>
    <w:rsid w:val="00426F5D"/>
    <w:rsid w:val="00432788"/>
    <w:rsid w:val="00432E3A"/>
    <w:rsid w:val="00435315"/>
    <w:rsid w:val="004432A4"/>
    <w:rsid w:val="00443AB0"/>
    <w:rsid w:val="00444B9C"/>
    <w:rsid w:val="00450FEF"/>
    <w:rsid w:val="00457473"/>
    <w:rsid w:val="004617A8"/>
    <w:rsid w:val="004636D9"/>
    <w:rsid w:val="00463F7C"/>
    <w:rsid w:val="004664DE"/>
    <w:rsid w:val="00473835"/>
    <w:rsid w:val="0047530F"/>
    <w:rsid w:val="00483330"/>
    <w:rsid w:val="00483777"/>
    <w:rsid w:val="004841DF"/>
    <w:rsid w:val="00484991"/>
    <w:rsid w:val="0049048A"/>
    <w:rsid w:val="0049137A"/>
    <w:rsid w:val="00491ED7"/>
    <w:rsid w:val="0049379A"/>
    <w:rsid w:val="00493C47"/>
    <w:rsid w:val="004A1FCC"/>
    <w:rsid w:val="004A3F0A"/>
    <w:rsid w:val="004A59D8"/>
    <w:rsid w:val="004A7491"/>
    <w:rsid w:val="004B5F87"/>
    <w:rsid w:val="004C1EDF"/>
    <w:rsid w:val="004C2DC2"/>
    <w:rsid w:val="004C388F"/>
    <w:rsid w:val="004C3B9C"/>
    <w:rsid w:val="004C3E22"/>
    <w:rsid w:val="004C4319"/>
    <w:rsid w:val="004D10EC"/>
    <w:rsid w:val="004D13D8"/>
    <w:rsid w:val="004D29C1"/>
    <w:rsid w:val="004D4F9E"/>
    <w:rsid w:val="004D5134"/>
    <w:rsid w:val="004E3DBD"/>
    <w:rsid w:val="004E5083"/>
    <w:rsid w:val="004E538D"/>
    <w:rsid w:val="004E7CD5"/>
    <w:rsid w:val="004F04AE"/>
    <w:rsid w:val="004F2444"/>
    <w:rsid w:val="004F5277"/>
    <w:rsid w:val="00502F1A"/>
    <w:rsid w:val="00503382"/>
    <w:rsid w:val="005040C7"/>
    <w:rsid w:val="005050DB"/>
    <w:rsid w:val="005100AC"/>
    <w:rsid w:val="005116A7"/>
    <w:rsid w:val="00511ABD"/>
    <w:rsid w:val="00512403"/>
    <w:rsid w:val="00514014"/>
    <w:rsid w:val="0051456E"/>
    <w:rsid w:val="00515690"/>
    <w:rsid w:val="0051615D"/>
    <w:rsid w:val="0051727F"/>
    <w:rsid w:val="005257EE"/>
    <w:rsid w:val="0052734E"/>
    <w:rsid w:val="00527369"/>
    <w:rsid w:val="005313B6"/>
    <w:rsid w:val="00535BC6"/>
    <w:rsid w:val="00536ED1"/>
    <w:rsid w:val="00545235"/>
    <w:rsid w:val="005502F0"/>
    <w:rsid w:val="005508F7"/>
    <w:rsid w:val="00554210"/>
    <w:rsid w:val="005554FD"/>
    <w:rsid w:val="00556A89"/>
    <w:rsid w:val="00560973"/>
    <w:rsid w:val="005614D9"/>
    <w:rsid w:val="005637B3"/>
    <w:rsid w:val="00565D2D"/>
    <w:rsid w:val="00567297"/>
    <w:rsid w:val="00570B18"/>
    <w:rsid w:val="00570D61"/>
    <w:rsid w:val="0057558B"/>
    <w:rsid w:val="00575A00"/>
    <w:rsid w:val="0057645D"/>
    <w:rsid w:val="005814EB"/>
    <w:rsid w:val="005836F7"/>
    <w:rsid w:val="005845E5"/>
    <w:rsid w:val="00585205"/>
    <w:rsid w:val="00586CFD"/>
    <w:rsid w:val="005902EE"/>
    <w:rsid w:val="00592001"/>
    <w:rsid w:val="00592E2C"/>
    <w:rsid w:val="005949F0"/>
    <w:rsid w:val="0059771D"/>
    <w:rsid w:val="005A19EC"/>
    <w:rsid w:val="005B1870"/>
    <w:rsid w:val="005B2A58"/>
    <w:rsid w:val="005B35D0"/>
    <w:rsid w:val="005B67A4"/>
    <w:rsid w:val="005C0AEE"/>
    <w:rsid w:val="005C152B"/>
    <w:rsid w:val="005C3EFC"/>
    <w:rsid w:val="005C4007"/>
    <w:rsid w:val="005C5085"/>
    <w:rsid w:val="005D47D7"/>
    <w:rsid w:val="005E312C"/>
    <w:rsid w:val="005E37EF"/>
    <w:rsid w:val="005F0BE4"/>
    <w:rsid w:val="005F302D"/>
    <w:rsid w:val="005F54CD"/>
    <w:rsid w:val="005F59C2"/>
    <w:rsid w:val="005F604E"/>
    <w:rsid w:val="00600832"/>
    <w:rsid w:val="006025F3"/>
    <w:rsid w:val="00602FF6"/>
    <w:rsid w:val="00605301"/>
    <w:rsid w:val="00611A52"/>
    <w:rsid w:val="00614358"/>
    <w:rsid w:val="00614903"/>
    <w:rsid w:val="006177AD"/>
    <w:rsid w:val="00617F58"/>
    <w:rsid w:val="006214A8"/>
    <w:rsid w:val="0063240B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F42"/>
    <w:rsid w:val="006734BA"/>
    <w:rsid w:val="00673AA9"/>
    <w:rsid w:val="0067410B"/>
    <w:rsid w:val="00674CCA"/>
    <w:rsid w:val="006779FA"/>
    <w:rsid w:val="00682DB4"/>
    <w:rsid w:val="006830BE"/>
    <w:rsid w:val="00683C0F"/>
    <w:rsid w:val="006868E5"/>
    <w:rsid w:val="00686D3B"/>
    <w:rsid w:val="00694224"/>
    <w:rsid w:val="00695342"/>
    <w:rsid w:val="006A159D"/>
    <w:rsid w:val="006A52BF"/>
    <w:rsid w:val="006A57B6"/>
    <w:rsid w:val="006A60A4"/>
    <w:rsid w:val="006A7DEC"/>
    <w:rsid w:val="006B3C22"/>
    <w:rsid w:val="006B74C1"/>
    <w:rsid w:val="006C03ED"/>
    <w:rsid w:val="006C2BD1"/>
    <w:rsid w:val="006C325F"/>
    <w:rsid w:val="006C46B3"/>
    <w:rsid w:val="006C6B85"/>
    <w:rsid w:val="006D11C3"/>
    <w:rsid w:val="006D155B"/>
    <w:rsid w:val="006D195B"/>
    <w:rsid w:val="006D2A60"/>
    <w:rsid w:val="006D454C"/>
    <w:rsid w:val="006D724B"/>
    <w:rsid w:val="006D7761"/>
    <w:rsid w:val="006E0C59"/>
    <w:rsid w:val="006E1596"/>
    <w:rsid w:val="006E2C59"/>
    <w:rsid w:val="006E53BE"/>
    <w:rsid w:val="006E5A0F"/>
    <w:rsid w:val="006E6129"/>
    <w:rsid w:val="006F278B"/>
    <w:rsid w:val="006F7FAB"/>
    <w:rsid w:val="0070032C"/>
    <w:rsid w:val="0070451E"/>
    <w:rsid w:val="007100AC"/>
    <w:rsid w:val="00710131"/>
    <w:rsid w:val="007106AB"/>
    <w:rsid w:val="00714882"/>
    <w:rsid w:val="00714945"/>
    <w:rsid w:val="00716FA3"/>
    <w:rsid w:val="007174AE"/>
    <w:rsid w:val="00720B69"/>
    <w:rsid w:val="00722DF9"/>
    <w:rsid w:val="00722F33"/>
    <w:rsid w:val="0072340A"/>
    <w:rsid w:val="0072439F"/>
    <w:rsid w:val="007305EA"/>
    <w:rsid w:val="007316A2"/>
    <w:rsid w:val="00731C33"/>
    <w:rsid w:val="007325D7"/>
    <w:rsid w:val="00733741"/>
    <w:rsid w:val="00734DDC"/>
    <w:rsid w:val="00736A9F"/>
    <w:rsid w:val="00740656"/>
    <w:rsid w:val="00741C1A"/>
    <w:rsid w:val="00743426"/>
    <w:rsid w:val="00754633"/>
    <w:rsid w:val="007549D3"/>
    <w:rsid w:val="007559FE"/>
    <w:rsid w:val="007565C8"/>
    <w:rsid w:val="00766F2E"/>
    <w:rsid w:val="007730D0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9FB"/>
    <w:rsid w:val="00786F9B"/>
    <w:rsid w:val="007872BB"/>
    <w:rsid w:val="0079157A"/>
    <w:rsid w:val="00792B87"/>
    <w:rsid w:val="00794928"/>
    <w:rsid w:val="00796340"/>
    <w:rsid w:val="00796C00"/>
    <w:rsid w:val="00797740"/>
    <w:rsid w:val="007A137D"/>
    <w:rsid w:val="007A3A13"/>
    <w:rsid w:val="007A706F"/>
    <w:rsid w:val="007B00E2"/>
    <w:rsid w:val="007B6828"/>
    <w:rsid w:val="007C58A0"/>
    <w:rsid w:val="007C5AAE"/>
    <w:rsid w:val="007C6657"/>
    <w:rsid w:val="007D2475"/>
    <w:rsid w:val="007D2F9D"/>
    <w:rsid w:val="007D7A4A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5025"/>
    <w:rsid w:val="007F77EA"/>
    <w:rsid w:val="00801F35"/>
    <w:rsid w:val="00802C72"/>
    <w:rsid w:val="00804151"/>
    <w:rsid w:val="00804CF9"/>
    <w:rsid w:val="00805582"/>
    <w:rsid w:val="00806B8F"/>
    <w:rsid w:val="00806F89"/>
    <w:rsid w:val="0080703F"/>
    <w:rsid w:val="00812927"/>
    <w:rsid w:val="00812D59"/>
    <w:rsid w:val="00813C35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301DD"/>
    <w:rsid w:val="008327EE"/>
    <w:rsid w:val="00837729"/>
    <w:rsid w:val="00841CAA"/>
    <w:rsid w:val="008463B3"/>
    <w:rsid w:val="00847475"/>
    <w:rsid w:val="008502E9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338"/>
    <w:rsid w:val="00882A06"/>
    <w:rsid w:val="00885839"/>
    <w:rsid w:val="00892BD6"/>
    <w:rsid w:val="00893E77"/>
    <w:rsid w:val="0089674B"/>
    <w:rsid w:val="008A41CB"/>
    <w:rsid w:val="008A5615"/>
    <w:rsid w:val="008A5BDE"/>
    <w:rsid w:val="008A7717"/>
    <w:rsid w:val="008B147D"/>
    <w:rsid w:val="008B1EA9"/>
    <w:rsid w:val="008B5911"/>
    <w:rsid w:val="008B5E57"/>
    <w:rsid w:val="008B5F19"/>
    <w:rsid w:val="008B72BD"/>
    <w:rsid w:val="008C3539"/>
    <w:rsid w:val="008C5FBF"/>
    <w:rsid w:val="008D0E47"/>
    <w:rsid w:val="008D1815"/>
    <w:rsid w:val="008D2711"/>
    <w:rsid w:val="008D2DA1"/>
    <w:rsid w:val="008D316D"/>
    <w:rsid w:val="008D4FA7"/>
    <w:rsid w:val="008D6055"/>
    <w:rsid w:val="008D7199"/>
    <w:rsid w:val="008E0646"/>
    <w:rsid w:val="008E1E69"/>
    <w:rsid w:val="008E207E"/>
    <w:rsid w:val="008F2CD9"/>
    <w:rsid w:val="008F3210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26B1"/>
    <w:rsid w:val="00924965"/>
    <w:rsid w:val="00932EB9"/>
    <w:rsid w:val="00933027"/>
    <w:rsid w:val="00933BF9"/>
    <w:rsid w:val="00935539"/>
    <w:rsid w:val="009355E0"/>
    <w:rsid w:val="00935F87"/>
    <w:rsid w:val="009363E4"/>
    <w:rsid w:val="00945548"/>
    <w:rsid w:val="0094612E"/>
    <w:rsid w:val="00952B35"/>
    <w:rsid w:val="009534C7"/>
    <w:rsid w:val="009566BD"/>
    <w:rsid w:val="00956FA3"/>
    <w:rsid w:val="0096244E"/>
    <w:rsid w:val="0096318E"/>
    <w:rsid w:val="0096483D"/>
    <w:rsid w:val="009658BF"/>
    <w:rsid w:val="00973FCC"/>
    <w:rsid w:val="00974C74"/>
    <w:rsid w:val="0097723C"/>
    <w:rsid w:val="009808DD"/>
    <w:rsid w:val="00982F19"/>
    <w:rsid w:val="0098361D"/>
    <w:rsid w:val="00983961"/>
    <w:rsid w:val="009870DD"/>
    <w:rsid w:val="009901A2"/>
    <w:rsid w:val="00991042"/>
    <w:rsid w:val="009919C9"/>
    <w:rsid w:val="00994DA0"/>
    <w:rsid w:val="00994F55"/>
    <w:rsid w:val="00995AFE"/>
    <w:rsid w:val="00997E04"/>
    <w:rsid w:val="009A0E60"/>
    <w:rsid w:val="009A37C5"/>
    <w:rsid w:val="009A6042"/>
    <w:rsid w:val="009A6872"/>
    <w:rsid w:val="009A7D6D"/>
    <w:rsid w:val="009B0FF5"/>
    <w:rsid w:val="009B1FB1"/>
    <w:rsid w:val="009B3902"/>
    <w:rsid w:val="009B39F5"/>
    <w:rsid w:val="009B4D8F"/>
    <w:rsid w:val="009B57CF"/>
    <w:rsid w:val="009C1132"/>
    <w:rsid w:val="009C1D10"/>
    <w:rsid w:val="009D137A"/>
    <w:rsid w:val="009D14B3"/>
    <w:rsid w:val="009D2D81"/>
    <w:rsid w:val="009D35CC"/>
    <w:rsid w:val="009E53FD"/>
    <w:rsid w:val="009E5743"/>
    <w:rsid w:val="009E5981"/>
    <w:rsid w:val="009F122C"/>
    <w:rsid w:val="009F44B0"/>
    <w:rsid w:val="00A003C7"/>
    <w:rsid w:val="00A01E4B"/>
    <w:rsid w:val="00A02507"/>
    <w:rsid w:val="00A04B06"/>
    <w:rsid w:val="00A0516B"/>
    <w:rsid w:val="00A0666D"/>
    <w:rsid w:val="00A0683D"/>
    <w:rsid w:val="00A069BE"/>
    <w:rsid w:val="00A074E7"/>
    <w:rsid w:val="00A106B1"/>
    <w:rsid w:val="00A139A8"/>
    <w:rsid w:val="00A160B4"/>
    <w:rsid w:val="00A1673F"/>
    <w:rsid w:val="00A17322"/>
    <w:rsid w:val="00A17891"/>
    <w:rsid w:val="00A209FA"/>
    <w:rsid w:val="00A2149B"/>
    <w:rsid w:val="00A301BE"/>
    <w:rsid w:val="00A31755"/>
    <w:rsid w:val="00A351A2"/>
    <w:rsid w:val="00A356CF"/>
    <w:rsid w:val="00A35900"/>
    <w:rsid w:val="00A41C4D"/>
    <w:rsid w:val="00A42E6C"/>
    <w:rsid w:val="00A44329"/>
    <w:rsid w:val="00A45008"/>
    <w:rsid w:val="00A52D44"/>
    <w:rsid w:val="00A5378F"/>
    <w:rsid w:val="00A63775"/>
    <w:rsid w:val="00A6406E"/>
    <w:rsid w:val="00A67234"/>
    <w:rsid w:val="00A70EE9"/>
    <w:rsid w:val="00A71985"/>
    <w:rsid w:val="00A74FB7"/>
    <w:rsid w:val="00A76685"/>
    <w:rsid w:val="00A76C28"/>
    <w:rsid w:val="00A80210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5CF"/>
    <w:rsid w:val="00AA2C75"/>
    <w:rsid w:val="00AA443B"/>
    <w:rsid w:val="00AB03A7"/>
    <w:rsid w:val="00AB15E8"/>
    <w:rsid w:val="00AB1EE5"/>
    <w:rsid w:val="00AB32A9"/>
    <w:rsid w:val="00AB38AE"/>
    <w:rsid w:val="00AC16B9"/>
    <w:rsid w:val="00AC3F38"/>
    <w:rsid w:val="00AC79AA"/>
    <w:rsid w:val="00AD06B7"/>
    <w:rsid w:val="00AD3240"/>
    <w:rsid w:val="00AD47F1"/>
    <w:rsid w:val="00AD5479"/>
    <w:rsid w:val="00AE028C"/>
    <w:rsid w:val="00AE3BD0"/>
    <w:rsid w:val="00AE620A"/>
    <w:rsid w:val="00AE7DE9"/>
    <w:rsid w:val="00AF1226"/>
    <w:rsid w:val="00AF34B4"/>
    <w:rsid w:val="00AF4554"/>
    <w:rsid w:val="00AF49C4"/>
    <w:rsid w:val="00AF4D51"/>
    <w:rsid w:val="00AF52C3"/>
    <w:rsid w:val="00B01ED3"/>
    <w:rsid w:val="00B02530"/>
    <w:rsid w:val="00B02E8E"/>
    <w:rsid w:val="00B039E1"/>
    <w:rsid w:val="00B12D17"/>
    <w:rsid w:val="00B1342F"/>
    <w:rsid w:val="00B13A5E"/>
    <w:rsid w:val="00B17E58"/>
    <w:rsid w:val="00B207FB"/>
    <w:rsid w:val="00B2509A"/>
    <w:rsid w:val="00B30C7C"/>
    <w:rsid w:val="00B31DFD"/>
    <w:rsid w:val="00B366DC"/>
    <w:rsid w:val="00B37A0B"/>
    <w:rsid w:val="00B37A8A"/>
    <w:rsid w:val="00B40F70"/>
    <w:rsid w:val="00B41643"/>
    <w:rsid w:val="00B46668"/>
    <w:rsid w:val="00B46EA0"/>
    <w:rsid w:val="00B53F72"/>
    <w:rsid w:val="00B62CAB"/>
    <w:rsid w:val="00B6518F"/>
    <w:rsid w:val="00B6687D"/>
    <w:rsid w:val="00B70C26"/>
    <w:rsid w:val="00B7239B"/>
    <w:rsid w:val="00B75B25"/>
    <w:rsid w:val="00B8467B"/>
    <w:rsid w:val="00B84C87"/>
    <w:rsid w:val="00B87992"/>
    <w:rsid w:val="00B94E2E"/>
    <w:rsid w:val="00B960A0"/>
    <w:rsid w:val="00BA3609"/>
    <w:rsid w:val="00BA6E0B"/>
    <w:rsid w:val="00BB3022"/>
    <w:rsid w:val="00BC1886"/>
    <w:rsid w:val="00BC1B5B"/>
    <w:rsid w:val="00BC4265"/>
    <w:rsid w:val="00BC4729"/>
    <w:rsid w:val="00BC604F"/>
    <w:rsid w:val="00BC62FB"/>
    <w:rsid w:val="00BD16B2"/>
    <w:rsid w:val="00BD1772"/>
    <w:rsid w:val="00BD433C"/>
    <w:rsid w:val="00BD5A25"/>
    <w:rsid w:val="00BD5D83"/>
    <w:rsid w:val="00BE007F"/>
    <w:rsid w:val="00BE259B"/>
    <w:rsid w:val="00BE30F3"/>
    <w:rsid w:val="00BE4F0D"/>
    <w:rsid w:val="00BE6A8A"/>
    <w:rsid w:val="00BE6E7B"/>
    <w:rsid w:val="00BF0EA2"/>
    <w:rsid w:val="00BF1CD8"/>
    <w:rsid w:val="00BF3AC0"/>
    <w:rsid w:val="00BF5158"/>
    <w:rsid w:val="00BF547E"/>
    <w:rsid w:val="00C04111"/>
    <w:rsid w:val="00C11910"/>
    <w:rsid w:val="00C11BD6"/>
    <w:rsid w:val="00C1428B"/>
    <w:rsid w:val="00C161A8"/>
    <w:rsid w:val="00C173FA"/>
    <w:rsid w:val="00C1776B"/>
    <w:rsid w:val="00C20CCC"/>
    <w:rsid w:val="00C20D6B"/>
    <w:rsid w:val="00C223F7"/>
    <w:rsid w:val="00C23901"/>
    <w:rsid w:val="00C239BA"/>
    <w:rsid w:val="00C27559"/>
    <w:rsid w:val="00C3095F"/>
    <w:rsid w:val="00C33FD7"/>
    <w:rsid w:val="00C33FDE"/>
    <w:rsid w:val="00C41ED6"/>
    <w:rsid w:val="00C42B9F"/>
    <w:rsid w:val="00C501E5"/>
    <w:rsid w:val="00C50CDE"/>
    <w:rsid w:val="00C56F27"/>
    <w:rsid w:val="00C66A00"/>
    <w:rsid w:val="00C71690"/>
    <w:rsid w:val="00C735E0"/>
    <w:rsid w:val="00C73B66"/>
    <w:rsid w:val="00C73E96"/>
    <w:rsid w:val="00C76FC4"/>
    <w:rsid w:val="00C77402"/>
    <w:rsid w:val="00C82076"/>
    <w:rsid w:val="00C9330C"/>
    <w:rsid w:val="00C94DDE"/>
    <w:rsid w:val="00CA2982"/>
    <w:rsid w:val="00CA2C19"/>
    <w:rsid w:val="00CA4B48"/>
    <w:rsid w:val="00CA5C9A"/>
    <w:rsid w:val="00CA6F3C"/>
    <w:rsid w:val="00CA7E21"/>
    <w:rsid w:val="00CB011B"/>
    <w:rsid w:val="00CB0481"/>
    <w:rsid w:val="00CB0876"/>
    <w:rsid w:val="00CB11FF"/>
    <w:rsid w:val="00CB1E19"/>
    <w:rsid w:val="00CB47B7"/>
    <w:rsid w:val="00CC0E20"/>
    <w:rsid w:val="00CC1B39"/>
    <w:rsid w:val="00CC1C9F"/>
    <w:rsid w:val="00CC3D1F"/>
    <w:rsid w:val="00CD0E86"/>
    <w:rsid w:val="00CD1821"/>
    <w:rsid w:val="00CD3E72"/>
    <w:rsid w:val="00CD467D"/>
    <w:rsid w:val="00CD591D"/>
    <w:rsid w:val="00CD6885"/>
    <w:rsid w:val="00CE07B8"/>
    <w:rsid w:val="00CE12D0"/>
    <w:rsid w:val="00CE1723"/>
    <w:rsid w:val="00CE1E1E"/>
    <w:rsid w:val="00CE41F8"/>
    <w:rsid w:val="00CE5D48"/>
    <w:rsid w:val="00CE6C76"/>
    <w:rsid w:val="00CF026E"/>
    <w:rsid w:val="00CF2583"/>
    <w:rsid w:val="00CF3FC3"/>
    <w:rsid w:val="00CF4BA9"/>
    <w:rsid w:val="00D02013"/>
    <w:rsid w:val="00D03C3C"/>
    <w:rsid w:val="00D04A43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77D2"/>
    <w:rsid w:val="00D31410"/>
    <w:rsid w:val="00D3328A"/>
    <w:rsid w:val="00D354ED"/>
    <w:rsid w:val="00D44FC7"/>
    <w:rsid w:val="00D508AA"/>
    <w:rsid w:val="00D50F78"/>
    <w:rsid w:val="00D5550A"/>
    <w:rsid w:val="00D57300"/>
    <w:rsid w:val="00D6162C"/>
    <w:rsid w:val="00D616A6"/>
    <w:rsid w:val="00D617C5"/>
    <w:rsid w:val="00D77F29"/>
    <w:rsid w:val="00D845AF"/>
    <w:rsid w:val="00D8536D"/>
    <w:rsid w:val="00D855B4"/>
    <w:rsid w:val="00D92827"/>
    <w:rsid w:val="00D96D26"/>
    <w:rsid w:val="00D97F49"/>
    <w:rsid w:val="00DA28EA"/>
    <w:rsid w:val="00DA641B"/>
    <w:rsid w:val="00DA6500"/>
    <w:rsid w:val="00DB128B"/>
    <w:rsid w:val="00DB519F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7482"/>
    <w:rsid w:val="00DD0845"/>
    <w:rsid w:val="00DD1FCB"/>
    <w:rsid w:val="00DD20EB"/>
    <w:rsid w:val="00DD2BDA"/>
    <w:rsid w:val="00DD39E4"/>
    <w:rsid w:val="00DD6496"/>
    <w:rsid w:val="00DE5161"/>
    <w:rsid w:val="00DE5329"/>
    <w:rsid w:val="00DE5601"/>
    <w:rsid w:val="00DF3B7E"/>
    <w:rsid w:val="00DF4880"/>
    <w:rsid w:val="00DF57FE"/>
    <w:rsid w:val="00DF6E44"/>
    <w:rsid w:val="00E06455"/>
    <w:rsid w:val="00E06E8E"/>
    <w:rsid w:val="00E13745"/>
    <w:rsid w:val="00E1690E"/>
    <w:rsid w:val="00E22EC4"/>
    <w:rsid w:val="00E24554"/>
    <w:rsid w:val="00E25BD5"/>
    <w:rsid w:val="00E26865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7F4E"/>
    <w:rsid w:val="00E50D02"/>
    <w:rsid w:val="00E51674"/>
    <w:rsid w:val="00E51F11"/>
    <w:rsid w:val="00E526D9"/>
    <w:rsid w:val="00E54824"/>
    <w:rsid w:val="00E6047D"/>
    <w:rsid w:val="00E607E4"/>
    <w:rsid w:val="00E617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B6"/>
    <w:rsid w:val="00E862BC"/>
    <w:rsid w:val="00E93348"/>
    <w:rsid w:val="00E94CAA"/>
    <w:rsid w:val="00E952FD"/>
    <w:rsid w:val="00EA2069"/>
    <w:rsid w:val="00EA33BD"/>
    <w:rsid w:val="00EB3D9A"/>
    <w:rsid w:val="00EB4773"/>
    <w:rsid w:val="00EC045B"/>
    <w:rsid w:val="00EC1407"/>
    <w:rsid w:val="00EC2F26"/>
    <w:rsid w:val="00EC4FCB"/>
    <w:rsid w:val="00EC60F7"/>
    <w:rsid w:val="00EC6FF5"/>
    <w:rsid w:val="00ED2623"/>
    <w:rsid w:val="00ED3BEE"/>
    <w:rsid w:val="00ED5333"/>
    <w:rsid w:val="00ED5A7D"/>
    <w:rsid w:val="00ED5CC2"/>
    <w:rsid w:val="00ED6D5C"/>
    <w:rsid w:val="00EE553B"/>
    <w:rsid w:val="00EE6A38"/>
    <w:rsid w:val="00EF2D29"/>
    <w:rsid w:val="00EF469E"/>
    <w:rsid w:val="00EF62A3"/>
    <w:rsid w:val="00EF7142"/>
    <w:rsid w:val="00F00670"/>
    <w:rsid w:val="00F05356"/>
    <w:rsid w:val="00F058F4"/>
    <w:rsid w:val="00F05C08"/>
    <w:rsid w:val="00F103D7"/>
    <w:rsid w:val="00F10973"/>
    <w:rsid w:val="00F1249A"/>
    <w:rsid w:val="00F136A6"/>
    <w:rsid w:val="00F13710"/>
    <w:rsid w:val="00F1486F"/>
    <w:rsid w:val="00F16DF3"/>
    <w:rsid w:val="00F201A9"/>
    <w:rsid w:val="00F2314A"/>
    <w:rsid w:val="00F30660"/>
    <w:rsid w:val="00F341F4"/>
    <w:rsid w:val="00F34DF6"/>
    <w:rsid w:val="00F351E1"/>
    <w:rsid w:val="00F35B3D"/>
    <w:rsid w:val="00F36024"/>
    <w:rsid w:val="00F367CB"/>
    <w:rsid w:val="00F45E6D"/>
    <w:rsid w:val="00F4644F"/>
    <w:rsid w:val="00F50069"/>
    <w:rsid w:val="00F5164C"/>
    <w:rsid w:val="00F53649"/>
    <w:rsid w:val="00F53AE4"/>
    <w:rsid w:val="00F53D34"/>
    <w:rsid w:val="00F60D33"/>
    <w:rsid w:val="00F663B8"/>
    <w:rsid w:val="00F700DD"/>
    <w:rsid w:val="00F70D1A"/>
    <w:rsid w:val="00F73CDC"/>
    <w:rsid w:val="00F74CC4"/>
    <w:rsid w:val="00F75AD9"/>
    <w:rsid w:val="00F77EC4"/>
    <w:rsid w:val="00F85F1D"/>
    <w:rsid w:val="00F87337"/>
    <w:rsid w:val="00F939AF"/>
    <w:rsid w:val="00F9487F"/>
    <w:rsid w:val="00F94A29"/>
    <w:rsid w:val="00FA1550"/>
    <w:rsid w:val="00FA38AB"/>
    <w:rsid w:val="00FA58BA"/>
    <w:rsid w:val="00FA6059"/>
    <w:rsid w:val="00FA6AFA"/>
    <w:rsid w:val="00FB4DA0"/>
    <w:rsid w:val="00FC010F"/>
    <w:rsid w:val="00FC3A3F"/>
    <w:rsid w:val="00FC5E2B"/>
    <w:rsid w:val="00FC6F39"/>
    <w:rsid w:val="00FD3017"/>
    <w:rsid w:val="00FD384C"/>
    <w:rsid w:val="00FD3B20"/>
    <w:rsid w:val="00FD3DA4"/>
    <w:rsid w:val="00FD69CD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554F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28A"/>
  </w:style>
  <w:style w:type="paragraph" w:styleId="a7">
    <w:name w:val="footer"/>
    <w:basedOn w:val="a"/>
    <w:link w:val="a8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28A"/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136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3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5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554F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28A"/>
  </w:style>
  <w:style w:type="paragraph" w:styleId="a7">
    <w:name w:val="footer"/>
    <w:basedOn w:val="a"/>
    <w:link w:val="a8"/>
    <w:uiPriority w:val="99"/>
    <w:unhideWhenUsed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28A"/>
  </w:style>
  <w:style w:type="paragraph" w:styleId="a9">
    <w:name w:val="List Paragraph"/>
    <w:basedOn w:val="a"/>
    <w:uiPriority w:val="34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136A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diagramQuickStyle" Target="diagrams/quickStyle6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42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microsoft.com/office/2007/relationships/diagramDrawing" Target="diagrams/drawing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Рис. 1. Динаміка надходжень загального та спеціального фондів  </a:t>
            </a:r>
          </a:p>
          <a:p>
            <a:pPr>
              <a:defRPr/>
            </a:pPr>
            <a:r>
              <a:rPr lang="uk-UA"/>
              <a:t>                за </a:t>
            </a:r>
            <a:r>
              <a:rPr lang="uk-UA" sz="1800" b="1" i="0" u="none" strike="noStrike" baseline="0">
                <a:effectLst/>
              </a:rPr>
              <a:t>9 місяців </a:t>
            </a:r>
            <a:r>
              <a:rPr lang="uk-UA"/>
              <a:t>2018 року та за </a:t>
            </a:r>
            <a:r>
              <a:rPr lang="uk-UA" sz="1800" b="1" i="0" u="none" strike="noStrike" baseline="0">
                <a:effectLst/>
              </a:rPr>
              <a:t>9 місяців </a:t>
            </a:r>
            <a:r>
              <a:rPr lang="uk-UA"/>
              <a:t>2019 року</a:t>
            </a:r>
            <a:br>
              <a:rPr lang="uk-UA"/>
            </a:br>
            <a:endParaRPr lang="uk-UA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074074074074077E-3"/>
          <c:y val="0.22709094565536872"/>
          <c:w val="0.95111111111111113"/>
          <c:h val="0.626216999798102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загальний фонд, тис.грн.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5604938271604937"/>
                  <c:y val="-0.10216110019646366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98472,7</a:t>
                    </a:r>
                    <a:r>
                      <a:rPr lang="uk-UA" sz="1200"/>
                      <a:t>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1925925925925926"/>
                  <c:y val="-0.11787819253438118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112946,6</a:t>
                    </a:r>
                    <a:r>
                      <a:rPr lang="uk-UA" sz="1200"/>
                      <a:t>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9 місяців  2018 року</c:v>
                </c:pt>
                <c:pt idx="1">
                  <c:v>9 місяців  2019 року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98472.7</c:v>
                </c:pt>
                <c:pt idx="1">
                  <c:v>112946.6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спеціальний фонд, тис.грн.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5185185185185179E-2"/>
                  <c:y val="-7.8585461689587421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2459,9</a:t>
                    </a:r>
                    <a:r>
                      <a:rPr lang="uk-UA" sz="1200"/>
                      <a:t>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037037037037043E-2"/>
                  <c:y val="-7.8585461689586952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4919,7</a:t>
                    </a:r>
                    <a:r>
                      <a:rPr lang="uk-UA" sz="1200"/>
                      <a:t> тис.грн.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9 місяців  2018 року</c:v>
                </c:pt>
                <c:pt idx="1">
                  <c:v>9 місяців  2019 року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2459.9</c:v>
                </c:pt>
                <c:pt idx="1">
                  <c:v>4919.7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331795840"/>
        <c:axId val="332174464"/>
        <c:axId val="0"/>
      </c:bar3DChart>
      <c:catAx>
        <c:axId val="331795840"/>
        <c:scaling>
          <c:orientation val="minMax"/>
        </c:scaling>
        <c:delete val="0"/>
        <c:axPos val="l"/>
        <c:majorTickMark val="none"/>
        <c:minorTickMark val="none"/>
        <c:tickLblPos val="nextTo"/>
        <c:crossAx val="332174464"/>
        <c:crosses val="autoZero"/>
        <c:auto val="1"/>
        <c:lblAlgn val="ctr"/>
        <c:lblOffset val="100"/>
        <c:noMultiLvlLbl val="0"/>
      </c:catAx>
      <c:valAx>
        <c:axId val="3321744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17958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9000408282298046"/>
          <c:y val="0.25900468728245907"/>
          <c:w val="0.57406575289199968"/>
          <c:h val="4.736846990393391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 b="1">
                <a:effectLst/>
              </a:rPr>
              <a:t>Рис. 2. Динаміка дохідної частини  бюджету </a:t>
            </a:r>
            <a:r>
              <a:rPr lang="uk-UA" sz="1400">
                <a:effectLst/>
              </a:rPr>
              <a:t/>
            </a:r>
            <a:br>
              <a:rPr lang="uk-UA" sz="1400">
                <a:effectLst/>
              </a:rPr>
            </a:br>
            <a:r>
              <a:rPr lang="uk-UA" sz="1400">
                <a:effectLst/>
              </a:rPr>
              <a:t>за 9 місяців</a:t>
            </a:r>
            <a:r>
              <a:rPr lang="uk-UA" sz="1400" b="1">
                <a:effectLst/>
              </a:rPr>
              <a:t> 2018</a:t>
            </a:r>
            <a:r>
              <a:rPr lang="uk-UA" sz="1400" b="1" baseline="0">
                <a:effectLst/>
              </a:rPr>
              <a:t> </a:t>
            </a:r>
            <a:r>
              <a:rPr lang="uk-UA" sz="1400" b="1">
                <a:effectLst/>
              </a:rPr>
              <a:t>та 9 місяців 2019 роках</a:t>
            </a:r>
            <a:endParaRPr lang="uk-UA" sz="1400">
              <a:effectLst/>
            </a:endParaRPr>
          </a:p>
        </c:rich>
      </c:tx>
      <c:layout>
        <c:manualLayout>
          <c:xMode val="edge"/>
          <c:yMode val="edge"/>
          <c:x val="0.17386574074074074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62833253487613E-2"/>
          <c:y val="0.29601238306750116"/>
          <c:w val="0.9211371667465123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705668226729069"/>
                  <c:y val="2.5071225071225112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7.2802912116484653E-2"/>
                  <c:y val="1.3675213675213675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місяців 2018</c:v>
                </c:pt>
                <c:pt idx="1">
                  <c:v>9 місяців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57193.3</c:v>
                </c:pt>
                <c:pt idx="1">
                  <c:v>71691.8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402496099843996E-3"/>
                  <c:y val="-9.3447293447293453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7.4882995319812795E-2"/>
                  <c:y val="-8.8888888888888892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місяців 2018</c:v>
                </c:pt>
                <c:pt idx="1">
                  <c:v>9 місяців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43739.3</c:v>
                </c:pt>
                <c:pt idx="1">
                  <c:v>46174.5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16929536"/>
        <c:axId val="316931072"/>
        <c:axId val="0"/>
      </c:bar3DChart>
      <c:catAx>
        <c:axId val="3169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uk-UA"/>
          </a:p>
        </c:txPr>
        <c:crossAx val="316931072"/>
        <c:crosses val="autoZero"/>
        <c:auto val="1"/>
        <c:lblAlgn val="ctr"/>
        <c:lblOffset val="100"/>
        <c:noMultiLvlLbl val="0"/>
      </c:catAx>
      <c:valAx>
        <c:axId val="3169310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6929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006283305495907E-4"/>
          <c:y val="3.2221620070770507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8.1262626262626259E-2"/>
                  <c:y val="-0.1981521034567035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7384076990376196E-3"/>
                  <c:y val="0.1854102245316501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907579734351387"/>
                  <c:y val="0.3116981733558608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4581643203690446E-2"/>
                  <c:y val="4.835155726991616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8284864391951006"/>
                  <c:y val="4.994931301603493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34584792809989662"/>
                  <c:y val="0.2371861816868033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Транспортний податок
144,8
0,01%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426210132824306"/>
                  <c:y val="0.1806635000584441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5.2941064185158676E-2"/>
                  <c:y val="0.2270732251585960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68360773085185E-2"/>
                  <c:y val="8.825995940790802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7.4878072059174419E-2"/>
                  <c:y val="-5.404698906563804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1.2827487473156764E-3"/>
                  <c:y val="-7.285217890273837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0.23289556987194782"/>
                  <c:y val="-4.584122328838449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-0.12895872106895728"/>
                  <c:y val="-0.156381140616532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
42,0
0,01%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7.9184840531297221E-2"/>
                  <c:y val="-0.1455849192939951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
177,3
0,01%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uk-UA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Кошти пайової участі</c:v>
                </c:pt>
                <c:pt idx="10">
                  <c:v>Офіційні трансферти</c:v>
                </c:pt>
                <c:pt idx="11">
                  <c:v>Власні надходження бюджетних установ</c:v>
                </c:pt>
                <c:pt idx="12">
                  <c:v>Екологічний податок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36120.9</c:v>
                </c:pt>
                <c:pt idx="1">
                  <c:v>4839.5</c:v>
                </c:pt>
                <c:pt idx="2">
                  <c:v>925.80000000000007</c:v>
                </c:pt>
                <c:pt idx="3">
                  <c:v>14625.6</c:v>
                </c:pt>
                <c:pt idx="4">
                  <c:v>9092</c:v>
                </c:pt>
                <c:pt idx="5">
                  <c:v>144.80000000000001</c:v>
                </c:pt>
                <c:pt idx="6">
                  <c:v>674.9</c:v>
                </c:pt>
                <c:pt idx="7">
                  <c:v>87.6</c:v>
                </c:pt>
                <c:pt idx="8">
                  <c:v>89.5</c:v>
                </c:pt>
                <c:pt idx="9">
                  <c:v>108.8</c:v>
                </c:pt>
                <c:pt idx="10">
                  <c:v>46174.5</c:v>
                </c:pt>
                <c:pt idx="11">
                  <c:v>4763.1000000000004</c:v>
                </c:pt>
                <c:pt idx="12">
                  <c:v>42</c:v>
                </c:pt>
                <c:pt idx="13">
                  <c:v>177.3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uk-UA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57900348100859E-2"/>
          <c:y val="0.38471182540538595"/>
          <c:w val="0.82407407407407407"/>
          <c:h val="0.59403868261808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6"/>
            <c:bubble3D val="0"/>
            <c:explosion val="32"/>
          </c:dPt>
          <c:dPt>
            <c:idx val="7"/>
            <c:bubble3D val="0"/>
            <c:explosion val="48"/>
          </c:dPt>
          <c:dLbls>
            <c:dLbl>
              <c:idx val="0"/>
              <c:layout>
                <c:manualLayout>
                  <c:x val="-0.32191453017853294"/>
                  <c:y val="-1.496070282790267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2600069363270855"/>
                  <c:y val="-0.2069332686153956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8902073619264151"/>
                  <c:y val="-1.92036098227447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20439317842202839"/>
                  <c:y val="0.2778655672332803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6774094102837472"/>
                  <c:y val="-1.323823391939021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Освіта
71366
60,6%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2.782655592708445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7.3188355533861701E-2"/>
                  <c:y val="-0.106053867730053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5.3886355559551791E-2"/>
                  <c:y val="-0.1283856578013585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90354223666575E-2"/>
                  <c:y val="-7.5740596803082025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4168.3</c:v>
                </c:pt>
                <c:pt idx="2">
                  <c:v>1919.6</c:v>
                </c:pt>
                <c:pt idx="3">
                  <c:v>9168.7999999999993</c:v>
                </c:pt>
                <c:pt idx="4">
                  <c:v>71366</c:v>
                </c:pt>
                <c:pt idx="5">
                  <c:v>3885.8</c:v>
                </c:pt>
                <c:pt idx="6">
                  <c:v>11215.9</c:v>
                </c:pt>
                <c:pt idx="7">
                  <c:v>10798.9</c:v>
                </c:pt>
                <c:pt idx="8">
                  <c:v>5352.7000000000007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1"/>
            <c:bubble3D val="0"/>
            <c:explosion val="38"/>
          </c:dPt>
          <c:dLbls>
            <c:dLbl>
              <c:idx val="0"/>
              <c:layout>
                <c:manualLayout>
                  <c:x val="-1.1908466997180909E-2"/>
                  <c:y val="0.2004593175853018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5831904345290169"/>
                  <c:y val="-5.242539127053563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6790123456790124"/>
                  <c:y val="0.182109782573474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0.2183208580408930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0.136228897313761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4.120913126599915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-4.421454262661611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"/>
                  <c:y val="2.418311137033796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0.20647466793923486"/>
                  <c:y val="-1.025639621134314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5.3700554097404492E-2"/>
                  <c:y val="-7.012216065584395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-0.12842585787887625"/>
                  <c:y val="-0.2343679725219532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7.9329639350636735E-2"/>
                  <c:y val="-0.1403643757493276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9.6459453679401175E-2"/>
                  <c:y val="-0.18861103010271865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0959603382910472"/>
                  <c:y val="-0.2236594731214153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43575293088363953"/>
                  <c:y val="-0.15488253783091929"/>
                </c:manualLayout>
              </c:layout>
              <c:tx>
                <c:rich>
                  <a:bodyPr/>
                  <a:lstStyle/>
                  <a:p>
                    <a:r>
                      <a:rPr lang="uk-UA" sz="800">
                        <a:latin typeface="Times New Roman" pitchFamily="18" charset="0"/>
                        <a:cs typeface="Times New Roman" pitchFamily="18" charset="0"/>
                      </a:rPr>
                      <a:t>Придбання обладнання і предметів довгострокового користування
4781,3
4,1%</a:t>
                    </a:r>
                    <a:endParaRPr lang="uk-UA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5"/>
              <c:layout>
                <c:manualLayout>
                  <c:x val="0.57209588801399824"/>
                  <c:y val="-0.1160725511162956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5673366384757463"/>
                  <c:y val="-2.167784582482743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3985715563332361"/>
                  <c:y val="8.589789702213149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29399358047277063"/>
                  <c:y val="0.2146662102019856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800" b="1" i="0" baseline="0">
                    <a:solidFill>
                      <a:srgbClr val="12066E"/>
                    </a:solidFill>
                  </a:defRPr>
                </a:pPr>
                <a:endParaRPr lang="uk-UA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8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Капітальне будівництво</c:v>
                </c:pt>
                <c:pt idx="14">
                  <c:v>Придбання обладнання і предметів довгострокового користування</c:v>
                </c:pt>
                <c:pt idx="15">
                  <c:v>Капітальний ремонт інших об'єктів</c:v>
                </c:pt>
                <c:pt idx="16">
                  <c:v>Реконструкція та реставрація інших об'єктів</c:v>
                </c:pt>
                <c:pt idx="17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67463.199999999997</c:v>
                </c:pt>
                <c:pt idx="1">
                  <c:v>4210.3999999999996</c:v>
                </c:pt>
                <c:pt idx="2">
                  <c:v>3247</c:v>
                </c:pt>
                <c:pt idx="3">
                  <c:v>7033.4</c:v>
                </c:pt>
                <c:pt idx="4">
                  <c:v>1538.2</c:v>
                </c:pt>
                <c:pt idx="5">
                  <c:v>224.7</c:v>
                </c:pt>
                <c:pt idx="6">
                  <c:v>11481.300000000001</c:v>
                </c:pt>
                <c:pt idx="7">
                  <c:v>11406.3</c:v>
                </c:pt>
                <c:pt idx="8">
                  <c:v>516.1</c:v>
                </c:pt>
                <c:pt idx="9">
                  <c:v>133.30000000000001</c:v>
                </c:pt>
                <c:pt idx="10">
                  <c:v>4.4000000000000004</c:v>
                </c:pt>
                <c:pt idx="11">
                  <c:v>57.4</c:v>
                </c:pt>
                <c:pt idx="12">
                  <c:v>392.8</c:v>
                </c:pt>
                <c:pt idx="13">
                  <c:v>1461.4</c:v>
                </c:pt>
                <c:pt idx="14">
                  <c:v>4781.3</c:v>
                </c:pt>
                <c:pt idx="15">
                  <c:v>1670.6</c:v>
                </c:pt>
                <c:pt idx="16">
                  <c:v>2222.8000000000002</c:v>
                </c:pt>
                <c:pt idx="17">
                  <c:v>31.4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місяців  2018 року (31926,3тис.грн.)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місяців 2019 року. (36052,7тис.грн.)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r>
            <a: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4126,4 тис.грн., або 112,9%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35120" custLinFactNeighborX="-64597" custLinFactNeighborY="140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51389" custLinFactNeighborY="806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2C0DBB20-936D-4610-A85A-96CFE47940D0}" type="presOf" srcId="{80F89128-A270-4E35-8BB5-1193001BD9DF}" destId="{E362D7CE-76E0-4520-AB62-95E29D806260}" srcOrd="0" destOrd="0" presId="urn:microsoft.com/office/officeart/2005/8/layout/list1"/>
    <dgm:cxn modelId="{AE9CE240-7D89-4C63-9B53-5D2BAF11D4BF}" type="presOf" srcId="{7E930DB5-1627-4D26-9707-8573EC203450}" destId="{F689546F-44F6-4204-B523-DF54E65B16D0}" srcOrd="0" destOrd="0" presId="urn:microsoft.com/office/officeart/2005/8/layout/list1"/>
    <dgm:cxn modelId="{4FC1FDD0-9619-4244-A7DE-4F5B1315486A}" type="presOf" srcId="{4D1528FF-AE9C-40E5-9CCC-E3DF855B6E26}" destId="{4178E824-0EAB-4F8A-8B4D-F9294862A670}" srcOrd="0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966339D0-51F0-4257-8642-25C5956A126D}" type="presOf" srcId="{6EA37E67-6319-439B-AFD7-C1578390A8B6}" destId="{DDFB2AF7-E88C-47B4-99D4-C5B6D3627C29}" srcOrd="0" destOrd="0" presId="urn:microsoft.com/office/officeart/2005/8/layout/list1"/>
    <dgm:cxn modelId="{BD32E9FE-629A-474C-87A0-63752BD47F54}" type="presOf" srcId="{6EA37E67-6319-439B-AFD7-C1578390A8B6}" destId="{AA06FE2E-9EB6-4CDB-ADA3-CD3B058B323C}" srcOrd="1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95AD9D6E-C2B0-4F8E-9058-9D4B4D380C2D}" type="presOf" srcId="{7E930DB5-1627-4D26-9707-8573EC203450}" destId="{DEFD212E-F27A-45AB-99D4-5144C70CD988}" srcOrd="1" destOrd="0" presId="urn:microsoft.com/office/officeart/2005/8/layout/list1"/>
    <dgm:cxn modelId="{76860A6F-4CEA-410C-9267-422135D22DB4}" type="presOf" srcId="{80F89128-A270-4E35-8BB5-1193001BD9DF}" destId="{0136F0A0-1633-41C1-B81E-21BD6F5D1141}" srcOrd="1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7331472A-758C-4903-BA54-F514FBA40094}" type="presParOf" srcId="{4178E824-0EAB-4F8A-8B4D-F9294862A670}" destId="{CE113277-B94E-45E9-B4FB-1BC658EB3BDF}" srcOrd="0" destOrd="0" presId="urn:microsoft.com/office/officeart/2005/8/layout/list1"/>
    <dgm:cxn modelId="{AE8A379B-A15E-45FC-A66A-13BECE6C7D24}" type="presParOf" srcId="{CE113277-B94E-45E9-B4FB-1BC658EB3BDF}" destId="{F689546F-44F6-4204-B523-DF54E65B16D0}" srcOrd="0" destOrd="0" presId="urn:microsoft.com/office/officeart/2005/8/layout/list1"/>
    <dgm:cxn modelId="{630FF43D-CBC8-4E81-86D8-2926EE2143E5}" type="presParOf" srcId="{CE113277-B94E-45E9-B4FB-1BC658EB3BDF}" destId="{DEFD212E-F27A-45AB-99D4-5144C70CD988}" srcOrd="1" destOrd="0" presId="urn:microsoft.com/office/officeart/2005/8/layout/list1"/>
    <dgm:cxn modelId="{6973547D-A45C-4B2B-941D-7C43D31AB883}" type="presParOf" srcId="{4178E824-0EAB-4F8A-8B4D-F9294862A670}" destId="{B723F7FE-B225-446C-AAD6-5797DCD4D0BB}" srcOrd="1" destOrd="0" presId="urn:microsoft.com/office/officeart/2005/8/layout/list1"/>
    <dgm:cxn modelId="{4D5243FB-8C6B-40B6-BDC9-7AD1C896BA93}" type="presParOf" srcId="{4178E824-0EAB-4F8A-8B4D-F9294862A670}" destId="{DC827496-DA42-4BFD-B5E4-668235A59E20}" srcOrd="2" destOrd="0" presId="urn:microsoft.com/office/officeart/2005/8/layout/list1"/>
    <dgm:cxn modelId="{5F9F496F-3B7E-4896-BC5F-C2BD11D9DE4B}" type="presParOf" srcId="{4178E824-0EAB-4F8A-8B4D-F9294862A670}" destId="{4C54389D-DFA5-47B0-B3FC-CAB600637888}" srcOrd="3" destOrd="0" presId="urn:microsoft.com/office/officeart/2005/8/layout/list1"/>
    <dgm:cxn modelId="{8BDB0158-F340-4504-BDAC-8870BDCA6B4B}" type="presParOf" srcId="{4178E824-0EAB-4F8A-8B4D-F9294862A670}" destId="{63E8A1F7-C744-44D8-B43A-27BB990ECBAF}" srcOrd="4" destOrd="0" presId="urn:microsoft.com/office/officeart/2005/8/layout/list1"/>
    <dgm:cxn modelId="{0B2CE8D9-0063-4C57-A7DF-BD6DD8248CE0}" type="presParOf" srcId="{63E8A1F7-C744-44D8-B43A-27BB990ECBAF}" destId="{DDFB2AF7-E88C-47B4-99D4-C5B6D3627C29}" srcOrd="0" destOrd="0" presId="urn:microsoft.com/office/officeart/2005/8/layout/list1"/>
    <dgm:cxn modelId="{B143E8B7-21DD-4973-B222-83DB776AD072}" type="presParOf" srcId="{63E8A1F7-C744-44D8-B43A-27BB990ECBAF}" destId="{AA06FE2E-9EB6-4CDB-ADA3-CD3B058B323C}" srcOrd="1" destOrd="0" presId="urn:microsoft.com/office/officeart/2005/8/layout/list1"/>
    <dgm:cxn modelId="{4D0EDA6D-20C8-4324-92E1-A242B99E7E50}" type="presParOf" srcId="{4178E824-0EAB-4F8A-8B4D-F9294862A670}" destId="{60612942-5B55-4169-A0AE-877E4F2F3AF1}" srcOrd="5" destOrd="0" presId="urn:microsoft.com/office/officeart/2005/8/layout/list1"/>
    <dgm:cxn modelId="{8C0D68AE-5594-43D2-9CB3-ADB143222D83}" type="presParOf" srcId="{4178E824-0EAB-4F8A-8B4D-F9294862A670}" destId="{298D072D-732E-45E1-B61E-2D9E2845DA40}" srcOrd="6" destOrd="0" presId="urn:microsoft.com/office/officeart/2005/8/layout/list1"/>
    <dgm:cxn modelId="{DC152845-3A51-4E50-987E-616974CEA4C8}" type="presParOf" srcId="{4178E824-0EAB-4F8A-8B4D-F9294862A670}" destId="{9FB93C63-EB97-4CD1-BB6B-4E9264FF488D}" srcOrd="7" destOrd="0" presId="urn:microsoft.com/office/officeart/2005/8/layout/list1"/>
    <dgm:cxn modelId="{E1722EC8-12BF-4E9A-A23D-43C9D38B86BC}" type="presParOf" srcId="{4178E824-0EAB-4F8A-8B4D-F9294862A670}" destId="{7B8700B7-44FE-43A4-8D8E-508592351726}" srcOrd="8" destOrd="0" presId="urn:microsoft.com/office/officeart/2005/8/layout/list1"/>
    <dgm:cxn modelId="{1208CF61-64FA-4630-A39A-6CE6AB6C48D0}" type="presParOf" srcId="{7B8700B7-44FE-43A4-8D8E-508592351726}" destId="{E362D7CE-76E0-4520-AB62-95E29D806260}" srcOrd="0" destOrd="0" presId="urn:microsoft.com/office/officeart/2005/8/layout/list1"/>
    <dgm:cxn modelId="{4A903F38-E16E-4D4B-B125-3D9C63C458E1}" type="presParOf" srcId="{7B8700B7-44FE-43A4-8D8E-508592351726}" destId="{0136F0A0-1633-41C1-B81E-21BD6F5D1141}" srcOrd="1" destOrd="0" presId="urn:microsoft.com/office/officeart/2005/8/layout/list1"/>
    <dgm:cxn modelId="{2E0057F0-A727-4984-B1F9-46F032A097B5}" type="presParOf" srcId="{4178E824-0EAB-4F8A-8B4D-F9294862A670}" destId="{7F1384B6-EB32-4E6F-AF31-EDEC34E18B8A}" srcOrd="9" destOrd="0" presId="urn:microsoft.com/office/officeart/2005/8/layout/list1"/>
    <dgm:cxn modelId="{2BDB2A81-C5E7-4001-92C1-A20F1E2FBF61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- 765,2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+1808,8 тис.грн. або 336,4%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2574,0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08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057C5739-03BA-48DB-BD62-B17EE90E68F0}" type="presOf" srcId="{018E694E-2160-46CF-8DEC-94977973E799}" destId="{AA2C7FBE-A683-447C-98C1-6693C7463562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068C0738-4A02-4881-9285-BA127195B58F}" type="presOf" srcId="{F3B87DBF-656F-4CC6-9990-C113FA0B16D6}" destId="{92E200D2-BF6A-406B-991E-DEF1A3D6F8B7}" srcOrd="0" destOrd="0" presId="urn:microsoft.com/office/officeart/2005/8/layout/hList3"/>
    <dgm:cxn modelId="{5D7A45F2-1900-49FC-A017-8ABF6CD9F0AC}" type="presOf" srcId="{084E3DDC-0DBD-4530-A7F3-0297E20F11AC}" destId="{9BE461BD-92E5-458A-A0FD-39360F5A2659}" srcOrd="0" destOrd="0" presId="urn:microsoft.com/office/officeart/2005/8/layout/hList3"/>
    <dgm:cxn modelId="{48DEA063-F8CC-4640-8C8D-88897F5D4156}" type="presOf" srcId="{34DC053F-1D54-492B-8335-CD8C939D1DA7}" destId="{FB664D42-0A4B-4C14-AB77-AC9CF1CDB986}" srcOrd="0" destOrd="0" presId="urn:microsoft.com/office/officeart/2005/8/layout/hList3"/>
    <dgm:cxn modelId="{FE2FB905-312B-4F21-90C3-39F38B05645D}" type="presOf" srcId="{B97AC598-08D0-4456-AFFD-A66DB36EEAB9}" destId="{EE63E7A9-C424-4EE0-87C3-09471F56FF67}" srcOrd="0" destOrd="0" presId="urn:microsoft.com/office/officeart/2005/8/layout/hList3"/>
    <dgm:cxn modelId="{1A0B9F93-4698-4804-B7C1-3DA4F73C32D2}" type="presParOf" srcId="{FB664D42-0A4B-4C14-AB77-AC9CF1CDB986}" destId="{9BE461BD-92E5-458A-A0FD-39360F5A2659}" srcOrd="0" destOrd="0" presId="urn:microsoft.com/office/officeart/2005/8/layout/hList3"/>
    <dgm:cxn modelId="{F128A485-2AD3-4DB4-81A4-B3E15974FB79}" type="presParOf" srcId="{FB664D42-0A4B-4C14-AB77-AC9CF1CDB986}" destId="{ED6D801B-B9BA-4DB3-9EE7-A35FF80579B6}" srcOrd="1" destOrd="0" presId="urn:microsoft.com/office/officeart/2005/8/layout/hList3"/>
    <dgm:cxn modelId="{085CE11B-D424-47ED-B370-2AB419333F24}" type="presParOf" srcId="{ED6D801B-B9BA-4DB3-9EE7-A35FF80579B6}" destId="{AA2C7FBE-A683-447C-98C1-6693C7463562}" srcOrd="0" destOrd="0" presId="urn:microsoft.com/office/officeart/2005/8/layout/hList3"/>
    <dgm:cxn modelId="{931AED9D-7064-4205-AB5D-2F7C91F5FFB2}" type="presParOf" srcId="{ED6D801B-B9BA-4DB3-9EE7-A35FF80579B6}" destId="{92E200D2-BF6A-406B-991E-DEF1A3D6F8B7}" srcOrd="1" destOrd="0" presId="urn:microsoft.com/office/officeart/2005/8/layout/hList3"/>
    <dgm:cxn modelId="{65E1DBA3-D98C-48B3-B2B5-6D977719472B}" type="presParOf" srcId="{ED6D801B-B9BA-4DB3-9EE7-A35FF80579B6}" destId="{EE63E7A9-C424-4EE0-87C3-09471F56FF67}" srcOrd="2" destOrd="0" presId="urn:microsoft.com/office/officeart/2005/8/layout/hList3"/>
    <dgm:cxn modelId="{97A896BA-24D2-482E-AD28-5FE097229117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місяців2018 року - 352,6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+344,5 тис.грн.                 або 197,7%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  697,1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B5766FF-CECB-4258-A29E-A60DB4922B92}" type="presOf" srcId="{B97AC598-08D0-4456-AFFD-A66DB36EEAB9}" destId="{EE63E7A9-C424-4EE0-87C3-09471F56FF67}" srcOrd="0" destOrd="0" presId="urn:microsoft.com/office/officeart/2005/8/layout/hList3"/>
    <dgm:cxn modelId="{30DB8D44-EE97-4525-A4C9-21AE348FCFC0}" type="presOf" srcId="{084E3DDC-0DBD-4530-A7F3-0297E20F11AC}" destId="{9BE461BD-92E5-458A-A0FD-39360F5A2659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680504A2-854E-48C6-BF36-63F87C6CB8C4}" type="presOf" srcId="{34DC053F-1D54-492B-8335-CD8C939D1DA7}" destId="{FB664D42-0A4B-4C14-AB77-AC9CF1CDB986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5D85FD6B-2BC1-41EB-AADE-7281F76D7F45}" type="presOf" srcId="{018E694E-2160-46CF-8DEC-94977973E799}" destId="{AA2C7FBE-A683-447C-98C1-6693C7463562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0B7E77F9-4486-4971-82E5-1327A4B0CE77}" type="presOf" srcId="{F3B87DBF-656F-4CC6-9990-C113FA0B16D6}" destId="{92E200D2-BF6A-406B-991E-DEF1A3D6F8B7}" srcOrd="0" destOrd="0" presId="urn:microsoft.com/office/officeart/2005/8/layout/hList3"/>
    <dgm:cxn modelId="{6E1AA62C-9A4F-471C-98FD-01D8FD43B97C}" type="presParOf" srcId="{FB664D42-0A4B-4C14-AB77-AC9CF1CDB986}" destId="{9BE461BD-92E5-458A-A0FD-39360F5A2659}" srcOrd="0" destOrd="0" presId="urn:microsoft.com/office/officeart/2005/8/layout/hList3"/>
    <dgm:cxn modelId="{4F59C971-64CD-4ECA-B212-6AC8312AA38A}" type="presParOf" srcId="{FB664D42-0A4B-4C14-AB77-AC9CF1CDB986}" destId="{ED6D801B-B9BA-4DB3-9EE7-A35FF80579B6}" srcOrd="1" destOrd="0" presId="urn:microsoft.com/office/officeart/2005/8/layout/hList3"/>
    <dgm:cxn modelId="{577201EB-6BB4-43BB-A44D-979211B3FA5C}" type="presParOf" srcId="{ED6D801B-B9BA-4DB3-9EE7-A35FF80579B6}" destId="{AA2C7FBE-A683-447C-98C1-6693C7463562}" srcOrd="0" destOrd="0" presId="urn:microsoft.com/office/officeart/2005/8/layout/hList3"/>
    <dgm:cxn modelId="{1ED76C1D-06A7-46C8-AD24-7D7CED9DF66E}" type="presParOf" srcId="{ED6D801B-B9BA-4DB3-9EE7-A35FF80579B6}" destId="{92E200D2-BF6A-406B-991E-DEF1A3D6F8B7}" srcOrd="1" destOrd="0" presId="urn:microsoft.com/office/officeart/2005/8/layout/hList3"/>
    <dgm:cxn modelId="{165406A5-50B6-45CD-86A1-8C6095F64309}" type="presParOf" srcId="{ED6D801B-B9BA-4DB3-9EE7-A35FF80579B6}" destId="{EE63E7A9-C424-4EE0-87C3-09471F56FF67}" srcOrd="2" destOrd="0" presId="urn:microsoft.com/office/officeart/2005/8/layout/hList3"/>
    <dgm:cxn modelId="{15DDF417-7CBD-4A4F-91A6-79574D75F843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              6426,9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+3264,4 тис.грн. або 150,8%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9691,3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FDE9651F-14EF-4DB6-9C5F-E86A37DDDF29}" type="presOf" srcId="{F3B87DBF-656F-4CC6-9990-C113FA0B16D6}" destId="{92E200D2-BF6A-406B-991E-DEF1A3D6F8B7}" srcOrd="0" destOrd="0" presId="urn:microsoft.com/office/officeart/2005/8/layout/hList3"/>
    <dgm:cxn modelId="{0EEA016E-478E-498B-B513-C91B761618CD}" type="presOf" srcId="{34DC053F-1D54-492B-8335-CD8C939D1DA7}" destId="{FB664D42-0A4B-4C14-AB77-AC9CF1CDB986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0803C6F2-B1A8-454E-B9E2-635FDEE15319}" type="presOf" srcId="{B97AC598-08D0-4456-AFFD-A66DB36EEAB9}" destId="{EE63E7A9-C424-4EE0-87C3-09471F56FF6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54A27A5E-6481-4EA0-A6F1-290DBC16314C}" type="presOf" srcId="{084E3DDC-0DBD-4530-A7F3-0297E20F11AC}" destId="{9BE461BD-92E5-458A-A0FD-39360F5A2659}" srcOrd="0" destOrd="0" presId="urn:microsoft.com/office/officeart/2005/8/layout/hList3"/>
    <dgm:cxn modelId="{4D5E382A-F217-4273-94E4-E5C91F0FEDDB}" type="presOf" srcId="{018E694E-2160-46CF-8DEC-94977973E799}" destId="{AA2C7FBE-A683-447C-98C1-6693C7463562}" srcOrd="0" destOrd="0" presId="urn:microsoft.com/office/officeart/2005/8/layout/hList3"/>
    <dgm:cxn modelId="{A280A890-4A5F-4376-B17D-FF24372F7047}" type="presParOf" srcId="{FB664D42-0A4B-4C14-AB77-AC9CF1CDB986}" destId="{9BE461BD-92E5-458A-A0FD-39360F5A2659}" srcOrd="0" destOrd="0" presId="urn:microsoft.com/office/officeart/2005/8/layout/hList3"/>
    <dgm:cxn modelId="{4862A015-1B54-41E9-AFD9-5FB2748DCDF1}" type="presParOf" srcId="{FB664D42-0A4B-4C14-AB77-AC9CF1CDB986}" destId="{ED6D801B-B9BA-4DB3-9EE7-A35FF80579B6}" srcOrd="1" destOrd="0" presId="urn:microsoft.com/office/officeart/2005/8/layout/hList3"/>
    <dgm:cxn modelId="{695B22BF-B4F7-4B8F-B8D9-96672DA79EE5}" type="presParOf" srcId="{ED6D801B-B9BA-4DB3-9EE7-A35FF80579B6}" destId="{AA2C7FBE-A683-447C-98C1-6693C7463562}" srcOrd="0" destOrd="0" presId="urn:microsoft.com/office/officeart/2005/8/layout/hList3"/>
    <dgm:cxn modelId="{2EF8A717-6E86-4284-9A58-405D7B20A9D5}" type="presParOf" srcId="{ED6D801B-B9BA-4DB3-9EE7-A35FF80579B6}" destId="{92E200D2-BF6A-406B-991E-DEF1A3D6F8B7}" srcOrd="1" destOrd="0" presId="urn:microsoft.com/office/officeart/2005/8/layout/hList3"/>
    <dgm:cxn modelId="{71C5554D-F854-4E98-A128-A5B74448E358}" type="presParOf" srcId="{ED6D801B-B9BA-4DB3-9EE7-A35FF80579B6}" destId="{EE63E7A9-C424-4EE0-87C3-09471F56FF67}" srcOrd="2" destOrd="0" presId="urn:microsoft.com/office/officeart/2005/8/layout/hList3"/>
    <dgm:cxn modelId="{A606083B-DD03-48D6-82CA-469DB33F214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                1658,5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+4,7 тис.грн.            або 100,2%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 1663,2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A8859E19-6703-4FE9-B3C5-475269B9451D}" type="presOf" srcId="{F3B87DBF-656F-4CC6-9990-C113FA0B16D6}" destId="{92E200D2-BF6A-406B-991E-DEF1A3D6F8B7}" srcOrd="0" destOrd="0" presId="urn:microsoft.com/office/officeart/2005/8/layout/hList3"/>
    <dgm:cxn modelId="{545B729E-ED1D-443C-A60C-172CA84DC2AB}" type="presOf" srcId="{018E694E-2160-46CF-8DEC-94977973E799}" destId="{AA2C7FBE-A683-447C-98C1-6693C7463562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0B508535-33C2-4CE5-B552-3B05A6AE0A69}" type="presOf" srcId="{084E3DDC-0DBD-4530-A7F3-0297E20F11AC}" destId="{9BE461BD-92E5-458A-A0FD-39360F5A2659}" srcOrd="0" destOrd="0" presId="urn:microsoft.com/office/officeart/2005/8/layout/hList3"/>
    <dgm:cxn modelId="{B355FAE3-F630-409A-92DC-CE94E6C8FBBA}" type="presOf" srcId="{B97AC598-08D0-4456-AFFD-A66DB36EEAB9}" destId="{EE63E7A9-C424-4EE0-87C3-09471F56FF67}" srcOrd="0" destOrd="0" presId="urn:microsoft.com/office/officeart/2005/8/layout/hList3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8C0CD50D-6C62-4B87-86F4-30E3C864A8A1}" type="presOf" srcId="{34DC053F-1D54-492B-8335-CD8C939D1DA7}" destId="{FB664D42-0A4B-4C14-AB77-AC9CF1CDB986}" srcOrd="0" destOrd="0" presId="urn:microsoft.com/office/officeart/2005/8/layout/hList3"/>
    <dgm:cxn modelId="{5003982D-44FB-4F60-8603-A92BDF9503E7}" type="presParOf" srcId="{FB664D42-0A4B-4C14-AB77-AC9CF1CDB986}" destId="{9BE461BD-92E5-458A-A0FD-39360F5A2659}" srcOrd="0" destOrd="0" presId="urn:microsoft.com/office/officeart/2005/8/layout/hList3"/>
    <dgm:cxn modelId="{CFDC4AEF-2C48-49C4-90D8-2FD780689770}" type="presParOf" srcId="{FB664D42-0A4B-4C14-AB77-AC9CF1CDB986}" destId="{ED6D801B-B9BA-4DB3-9EE7-A35FF80579B6}" srcOrd="1" destOrd="0" presId="urn:microsoft.com/office/officeart/2005/8/layout/hList3"/>
    <dgm:cxn modelId="{68A8EEC6-F78A-4596-8E0D-BC6743094DF7}" type="presParOf" srcId="{ED6D801B-B9BA-4DB3-9EE7-A35FF80579B6}" destId="{AA2C7FBE-A683-447C-98C1-6693C7463562}" srcOrd="0" destOrd="0" presId="urn:microsoft.com/office/officeart/2005/8/layout/hList3"/>
    <dgm:cxn modelId="{F1019368-CC0F-4C5B-9DDF-40E4AE7FE476}" type="presParOf" srcId="{ED6D801B-B9BA-4DB3-9EE7-A35FF80579B6}" destId="{92E200D2-BF6A-406B-991E-DEF1A3D6F8B7}" srcOrd="1" destOrd="0" presId="urn:microsoft.com/office/officeart/2005/8/layout/hList3"/>
    <dgm:cxn modelId="{76247878-98C5-445C-8BF2-A0F57E30C747}" type="presParOf" srcId="{ED6D801B-B9BA-4DB3-9EE7-A35FF80579B6}" destId="{EE63E7A9-C424-4EE0-87C3-09471F56FF67}" srcOrd="2" destOrd="0" presId="urn:microsoft.com/office/officeart/2005/8/layout/hList3"/>
    <dgm:cxn modelId="{718AE580-440D-4A23-9983-5214D559BDA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місяців 2018 року - 320,3 тис.грн.   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місяціів 2018 року- 4661,0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місяціів 2019 року -5408,3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місяціів 2018 року -  3195,3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місяціів 2019 року -        3364,8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9 місяціів 2019 року - 319,0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-1,3 тис.грн.,            або 99,6%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+747,3 тис.грн.,   або 116,0%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 +169,4 тис.грн.,      або 105,3%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</dgm:pt>
    <dgm:pt modelId="{EB7F96A0-D7E4-4053-9680-FC5E88E08F70}" type="pres">
      <dgm:prSet presAssocID="{D3FDBD3B-51B0-41D5-8F1F-238FFFB56A91}" presName="theInnerList" presStyleCnt="0"/>
      <dgm:spPr/>
    </dgm:pt>
    <dgm:pt modelId="{B995AA39-D88B-4F5D-A2D0-044F059CE9BB}" type="pres">
      <dgm:prSet presAssocID="{FBD828C5-1EEA-4259-802F-0F316DB2AD3B}" presName="childNode" presStyleLbl="node1" presStyleIdx="0" presStyleCnt="9" custScaleX="121532" custScaleY="65732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</dgm:pt>
    <dgm:pt modelId="{2C596296-6704-4CC8-B9BF-52C838285E88}" type="pres">
      <dgm:prSet presAssocID="{6EDC4DD3-7BE0-466A-A8A1-307F476A455E}" presName="childNode" presStyleLbl="node1" presStyleIdx="1" presStyleCnt="9" custScaleX="119647" custScaleY="5965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</dgm:pt>
    <dgm:pt modelId="{C0D08081-2729-49B6-BDC0-E0A5F7D256AE}" type="pres">
      <dgm:prSet presAssocID="{0DF7D2E2-A6FC-4AB8-B605-61D4BBD64FD0}" presName="compNode" presStyleCnt="0"/>
      <dgm:spPr/>
    </dgm:pt>
    <dgm:pt modelId="{E9F66DB0-F6F9-4B80-B84F-9BDE22F808C2}" type="pres">
      <dgm:prSet presAssocID="{0DF7D2E2-A6FC-4AB8-B605-61D4BBD64FD0}" presName="aNode" presStyleLbl="bgShp" presStyleIdx="1" presStyleCnt="3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</dgm:pt>
    <dgm:pt modelId="{CDF03F4F-2E06-4FBA-B1B3-26C3CC68D443}" type="pres">
      <dgm:prSet presAssocID="{0DF7D2E2-A6FC-4AB8-B605-61D4BBD64FD0}" presName="theInnerList" presStyleCnt="0"/>
      <dgm:spPr/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</dgm:pt>
    <dgm:pt modelId="{74A7BFD7-DE4B-4CEF-9E5B-9E14C4720914}" type="pres">
      <dgm:prSet presAssocID="{E42AA4E4-4CE3-46E9-B9CE-E3C3949630C3}" presName="childNode" presStyleLbl="node1" presStyleIdx="4" presStyleCnt="9" custScaleX="120589" custScaleY="42179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</dgm:pt>
    <dgm:pt modelId="{8CFC5A69-DB1C-4B06-8D0A-83F36398D54F}" type="pres">
      <dgm:prSet presAssocID="{3674E33D-8B27-4C1A-B652-68D025B97537}" presName="compNode" presStyleCnt="0"/>
      <dgm:spPr/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</dgm:pt>
    <dgm:pt modelId="{B90CBA9E-7A98-4AF0-B126-8E3C13744470}" type="pres">
      <dgm:prSet presAssocID="{3674E33D-8B27-4C1A-B652-68D025B97537}" presName="theInnerList" presStyleCnt="0"/>
      <dgm:spPr/>
    </dgm:pt>
    <dgm:pt modelId="{6F85DA38-8515-4187-81C6-3C6D9C0CF1ED}" type="pres">
      <dgm:prSet presAssocID="{7E1830F2-5972-45A9-92D5-3FC9D6FE639D}" presName="childNode" presStyleLbl="node1" presStyleIdx="6" presStyleCnt="9" custScaleX="122022" custScaleY="35215" custLinFactNeighborX="2145" custLinFactNeighborY="-547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</dgm:pt>
    <dgm:pt modelId="{9C61B4A9-59A6-41A7-A5DA-A4F88C9B05EC}" type="pres">
      <dgm:prSet presAssocID="{F3C47FE1-0D94-4F33-89B1-FD62F21DDE3D}" presName="childNode" presStyleLbl="node1" presStyleIdx="7" presStyleCnt="9" custScaleX="121532" custScaleY="37533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</dgm:pt>
    <dgm:pt modelId="{95088396-CEC1-45DD-804F-0F41AADB86E3}" type="pres">
      <dgm:prSet presAssocID="{FB958280-55D0-4252-BB34-22CB3DCE2071}" presName="childNode" presStyleLbl="node1" presStyleIdx="8" presStyleCnt="9" custScaleX="125976" custScaleY="38413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8F457E8-EF0D-439A-9590-6A42DCDA3CA2}" type="presOf" srcId="{3674E33D-8B27-4C1A-B652-68D025B97537}" destId="{173929A1-967C-4CFB-9E9C-8B27F18FDFFF}" srcOrd="0" destOrd="0" presId="urn:microsoft.com/office/officeart/2005/8/layout/lProcess2"/>
    <dgm:cxn modelId="{BAB5D2E9-8BA0-4BBD-A108-0AD186B0BCB9}" type="presOf" srcId="{3674E33D-8B27-4C1A-B652-68D025B97537}" destId="{1D81B244-0EAF-4E6E-960F-3EF07835721E}" srcOrd="1" destOrd="0" presId="urn:microsoft.com/office/officeart/2005/8/layout/lProcess2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347FEBD2-FC64-4F61-9686-4AA99FD9750D}" type="presOf" srcId="{7E1830F2-5972-45A9-92D5-3FC9D6FE639D}" destId="{6F85DA38-8515-4187-81C6-3C6D9C0CF1ED}" srcOrd="0" destOrd="0" presId="urn:microsoft.com/office/officeart/2005/8/layout/lProcess2"/>
    <dgm:cxn modelId="{9A2DD82C-19E8-41CA-BC8F-B603B9578CDE}" type="presOf" srcId="{58D6A665-17B7-4C4A-B82C-8883D374452F}" destId="{57A443D7-5825-44BD-A5ED-C6E1FF409E42}" srcOrd="0" destOrd="0" presId="urn:microsoft.com/office/officeart/2005/8/layout/lProcess2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F3C387C0-1E27-4654-B83C-2AAAD52BD1A3}" type="presOf" srcId="{D3FDBD3B-51B0-41D5-8F1F-238FFFB56A91}" destId="{973D5DDF-B9A8-408E-BA24-B2094E487AA5}" srcOrd="1" destOrd="0" presId="urn:microsoft.com/office/officeart/2005/8/layout/lProcess2"/>
    <dgm:cxn modelId="{E96FEE4B-A4A3-478B-A27A-B3D6FBA48708}" type="presOf" srcId="{83BB2042-9755-485B-9A0D-CEA855E2E913}" destId="{7E0E7086-0779-4EE4-90A2-E516F5E4B779}" srcOrd="0" destOrd="0" presId="urn:microsoft.com/office/officeart/2005/8/layout/lProcess2"/>
    <dgm:cxn modelId="{2705642C-75C4-4ABF-B567-3CAC665A1CC0}" type="presOf" srcId="{E42AA4E4-4CE3-46E9-B9CE-E3C3949630C3}" destId="{74A7BFD7-DE4B-4CEF-9E5B-9E14C4720914}" srcOrd="0" destOrd="0" presId="urn:microsoft.com/office/officeart/2005/8/layout/lProcess2"/>
    <dgm:cxn modelId="{089845FE-F90A-456B-9735-EBBBE8D98164}" type="presOf" srcId="{D3FDBD3B-51B0-41D5-8F1F-238FFFB56A91}" destId="{614F77F8-D6F7-450F-BA8F-44B3EE5E93A3}" srcOrd="0" destOrd="0" presId="urn:microsoft.com/office/officeart/2005/8/layout/lProcess2"/>
    <dgm:cxn modelId="{3341CAFF-4F74-4DF6-A866-4A8BEA304618}" type="presOf" srcId="{0DF7D2E2-A6FC-4AB8-B605-61D4BBD64FD0}" destId="{E9F66DB0-F6F9-4B80-B84F-9BDE22F808C2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B7449353-3362-4909-91BB-A335A4B999ED}" type="presOf" srcId="{FBD828C5-1EEA-4259-802F-0F316DB2AD3B}" destId="{B995AA39-D88B-4F5D-A2D0-044F059CE9BB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B3CA58BA-EF49-416A-ABAD-3D4C3F781BFD}" type="presOf" srcId="{6EDC4DD3-7BE0-466A-A8A1-307F476A455E}" destId="{2C596296-6704-4CC8-B9BF-52C838285E88}" srcOrd="0" destOrd="0" presId="urn:microsoft.com/office/officeart/2005/8/layout/lProcess2"/>
    <dgm:cxn modelId="{E1C29A65-6141-4593-9F53-D4CEFDC97869}" type="presOf" srcId="{92B33AD4-C2C2-48C0-8BC9-661ABA694C1C}" destId="{22A2A73C-654B-4587-AA91-934DBD585DC4}" srcOrd="0" destOrd="0" presId="urn:microsoft.com/office/officeart/2005/8/layout/lProcess2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E72A623F-25D4-46C7-ADAE-0DC3083E2C25}" type="presOf" srcId="{0DF7D2E2-A6FC-4AB8-B605-61D4BBD64FD0}" destId="{BCEE8F43-AADA-409D-B455-EB48CD74E13F}" srcOrd="1" destOrd="0" presId="urn:microsoft.com/office/officeart/2005/8/layout/lProcess2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8A336769-F7EC-460A-8180-68C3EFF43EA3}" type="presOf" srcId="{ACB2C5C0-1D57-482F-9B3E-5B1CEA3D08BA}" destId="{C9DFF695-92BA-40E1-BF2F-96E68E19F27E}" srcOrd="0" destOrd="0" presId="urn:microsoft.com/office/officeart/2005/8/layout/lProcess2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99B5821F-73B6-4DCB-9B6B-72929DE3EC65}" type="presOf" srcId="{FB958280-55D0-4252-BB34-22CB3DCE2071}" destId="{95088396-CEC1-45DD-804F-0F41AADB86E3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D8FCA6A6-4EFD-4095-B3E0-C99E75229D25}" type="presOf" srcId="{F3C47FE1-0D94-4F33-89B1-FD62F21DDE3D}" destId="{9C61B4A9-59A6-41A7-A5DA-A4F88C9B05EC}" srcOrd="0" destOrd="0" presId="urn:microsoft.com/office/officeart/2005/8/layout/lProcess2"/>
    <dgm:cxn modelId="{5C959ED0-894B-46EC-A623-347348CF4C97}" type="presParOf" srcId="{C9DFF695-92BA-40E1-BF2F-96E68E19F27E}" destId="{C21BE76E-E4A4-4409-9323-DB44565DCC56}" srcOrd="0" destOrd="0" presId="urn:microsoft.com/office/officeart/2005/8/layout/lProcess2"/>
    <dgm:cxn modelId="{794FD3AE-39EB-4B08-A2E9-073A5FD9E8E1}" type="presParOf" srcId="{C21BE76E-E4A4-4409-9323-DB44565DCC56}" destId="{614F77F8-D6F7-450F-BA8F-44B3EE5E93A3}" srcOrd="0" destOrd="0" presId="urn:microsoft.com/office/officeart/2005/8/layout/lProcess2"/>
    <dgm:cxn modelId="{2A70B9CA-70B5-49B3-B848-BAE7884CAAF8}" type="presParOf" srcId="{C21BE76E-E4A4-4409-9323-DB44565DCC56}" destId="{973D5DDF-B9A8-408E-BA24-B2094E487AA5}" srcOrd="1" destOrd="0" presId="urn:microsoft.com/office/officeart/2005/8/layout/lProcess2"/>
    <dgm:cxn modelId="{BF1C9143-19D4-4ACB-9ED4-EC6F7EB8B806}" type="presParOf" srcId="{C21BE76E-E4A4-4409-9323-DB44565DCC56}" destId="{B9284097-10B9-4041-A8D0-D29BD4F7724F}" srcOrd="2" destOrd="0" presId="urn:microsoft.com/office/officeart/2005/8/layout/lProcess2"/>
    <dgm:cxn modelId="{329377E4-15A2-4E28-8672-7DE0E25A7106}" type="presParOf" srcId="{B9284097-10B9-4041-A8D0-D29BD4F7724F}" destId="{EB7F96A0-D7E4-4053-9680-FC5E88E08F70}" srcOrd="0" destOrd="0" presId="urn:microsoft.com/office/officeart/2005/8/layout/lProcess2"/>
    <dgm:cxn modelId="{5D40B1C8-7D41-40D6-9EA1-ADBD6C98B36C}" type="presParOf" srcId="{EB7F96A0-D7E4-4053-9680-FC5E88E08F70}" destId="{B995AA39-D88B-4F5D-A2D0-044F059CE9BB}" srcOrd="0" destOrd="0" presId="urn:microsoft.com/office/officeart/2005/8/layout/lProcess2"/>
    <dgm:cxn modelId="{53EBB54D-14EC-4EF3-9881-D22560DE0080}" type="presParOf" srcId="{EB7F96A0-D7E4-4053-9680-FC5E88E08F70}" destId="{6866DCC9-6CE8-4490-8212-350C638880B3}" srcOrd="1" destOrd="0" presId="urn:microsoft.com/office/officeart/2005/8/layout/lProcess2"/>
    <dgm:cxn modelId="{654891FF-0BE2-4921-8853-3E0DE4EAC2D5}" type="presParOf" srcId="{EB7F96A0-D7E4-4053-9680-FC5E88E08F70}" destId="{2C596296-6704-4CC8-B9BF-52C838285E88}" srcOrd="2" destOrd="0" presId="urn:microsoft.com/office/officeart/2005/8/layout/lProcess2"/>
    <dgm:cxn modelId="{3CA8A088-9B61-4B0B-9BF1-A18001088E6B}" type="presParOf" srcId="{EB7F96A0-D7E4-4053-9680-FC5E88E08F70}" destId="{C562686A-BA5B-411F-8E87-874D9EB8F3A2}" srcOrd="3" destOrd="0" presId="urn:microsoft.com/office/officeart/2005/8/layout/lProcess2"/>
    <dgm:cxn modelId="{8D42BCE6-1E7F-4912-8554-1DB1A564EA92}" type="presParOf" srcId="{EB7F96A0-D7E4-4053-9680-FC5E88E08F70}" destId="{22A2A73C-654B-4587-AA91-934DBD585DC4}" srcOrd="4" destOrd="0" presId="urn:microsoft.com/office/officeart/2005/8/layout/lProcess2"/>
    <dgm:cxn modelId="{5B468BED-8A67-4914-9865-D6A366952015}" type="presParOf" srcId="{C9DFF695-92BA-40E1-BF2F-96E68E19F27E}" destId="{8014F4B4-E489-4E21-B754-729F7E6A2F1D}" srcOrd="1" destOrd="0" presId="urn:microsoft.com/office/officeart/2005/8/layout/lProcess2"/>
    <dgm:cxn modelId="{10FC0FD2-5D3E-4DE7-9436-AE5316816554}" type="presParOf" srcId="{C9DFF695-92BA-40E1-BF2F-96E68E19F27E}" destId="{C0D08081-2729-49B6-BDC0-E0A5F7D256AE}" srcOrd="2" destOrd="0" presId="urn:microsoft.com/office/officeart/2005/8/layout/lProcess2"/>
    <dgm:cxn modelId="{96826EE4-12B4-4BC2-B528-A2C16F6AFEAC}" type="presParOf" srcId="{C0D08081-2729-49B6-BDC0-E0A5F7D256AE}" destId="{E9F66DB0-F6F9-4B80-B84F-9BDE22F808C2}" srcOrd="0" destOrd="0" presId="urn:microsoft.com/office/officeart/2005/8/layout/lProcess2"/>
    <dgm:cxn modelId="{9A5F4178-43EA-416C-A6D3-4F9052864718}" type="presParOf" srcId="{C0D08081-2729-49B6-BDC0-E0A5F7D256AE}" destId="{BCEE8F43-AADA-409D-B455-EB48CD74E13F}" srcOrd="1" destOrd="0" presId="urn:microsoft.com/office/officeart/2005/8/layout/lProcess2"/>
    <dgm:cxn modelId="{D99446B3-7DE4-4922-811F-4537AB51B664}" type="presParOf" srcId="{C0D08081-2729-49B6-BDC0-E0A5F7D256AE}" destId="{9ECD4FC3-DF59-4531-8A71-18D81B93A9A3}" srcOrd="2" destOrd="0" presId="urn:microsoft.com/office/officeart/2005/8/layout/lProcess2"/>
    <dgm:cxn modelId="{331BCD21-CFB8-4A91-8317-CC27FCEB922E}" type="presParOf" srcId="{9ECD4FC3-DF59-4531-8A71-18D81B93A9A3}" destId="{CDF03F4F-2E06-4FBA-B1B3-26C3CC68D443}" srcOrd="0" destOrd="0" presId="urn:microsoft.com/office/officeart/2005/8/layout/lProcess2"/>
    <dgm:cxn modelId="{0B62ADD3-2EB5-4EA2-9B39-90CD2B0639BE}" type="presParOf" srcId="{CDF03F4F-2E06-4FBA-B1B3-26C3CC68D443}" destId="{57A443D7-5825-44BD-A5ED-C6E1FF409E42}" srcOrd="0" destOrd="0" presId="urn:microsoft.com/office/officeart/2005/8/layout/lProcess2"/>
    <dgm:cxn modelId="{D5620D08-2786-4A18-9337-DB61ED43635A}" type="presParOf" srcId="{CDF03F4F-2E06-4FBA-B1B3-26C3CC68D443}" destId="{43003354-745F-4015-ADE1-204DC83569E6}" srcOrd="1" destOrd="0" presId="urn:microsoft.com/office/officeart/2005/8/layout/lProcess2"/>
    <dgm:cxn modelId="{AE48D8E1-D108-457D-A97A-DB8A0A04B59A}" type="presParOf" srcId="{CDF03F4F-2E06-4FBA-B1B3-26C3CC68D443}" destId="{74A7BFD7-DE4B-4CEF-9E5B-9E14C4720914}" srcOrd="2" destOrd="0" presId="urn:microsoft.com/office/officeart/2005/8/layout/lProcess2"/>
    <dgm:cxn modelId="{BB051E45-34A7-4BF1-BA72-6E355BF18842}" type="presParOf" srcId="{CDF03F4F-2E06-4FBA-B1B3-26C3CC68D443}" destId="{763CD144-F6D0-4FAC-824B-6DF6C643FA50}" srcOrd="3" destOrd="0" presId="urn:microsoft.com/office/officeart/2005/8/layout/lProcess2"/>
    <dgm:cxn modelId="{684632DA-DFF3-4745-A7B2-8DF759E79F75}" type="presParOf" srcId="{CDF03F4F-2E06-4FBA-B1B3-26C3CC68D443}" destId="{7E0E7086-0779-4EE4-90A2-E516F5E4B779}" srcOrd="4" destOrd="0" presId="urn:microsoft.com/office/officeart/2005/8/layout/lProcess2"/>
    <dgm:cxn modelId="{DC82724E-F4BD-499E-9D36-956801A87D80}" type="presParOf" srcId="{C9DFF695-92BA-40E1-BF2F-96E68E19F27E}" destId="{EE05B2E9-1CB8-4F75-AE06-E7B38DD032E3}" srcOrd="3" destOrd="0" presId="urn:microsoft.com/office/officeart/2005/8/layout/lProcess2"/>
    <dgm:cxn modelId="{2CB6B179-1BAA-45E3-86EA-CE3E745E07F5}" type="presParOf" srcId="{C9DFF695-92BA-40E1-BF2F-96E68E19F27E}" destId="{8CFC5A69-DB1C-4B06-8D0A-83F36398D54F}" srcOrd="4" destOrd="0" presId="urn:microsoft.com/office/officeart/2005/8/layout/lProcess2"/>
    <dgm:cxn modelId="{DF7D2299-DAEC-4541-B007-4138F67099ED}" type="presParOf" srcId="{8CFC5A69-DB1C-4B06-8D0A-83F36398D54F}" destId="{173929A1-967C-4CFB-9E9C-8B27F18FDFFF}" srcOrd="0" destOrd="0" presId="urn:microsoft.com/office/officeart/2005/8/layout/lProcess2"/>
    <dgm:cxn modelId="{65604FF5-AFCC-45DF-A06F-8F96D1C408E6}" type="presParOf" srcId="{8CFC5A69-DB1C-4B06-8D0A-83F36398D54F}" destId="{1D81B244-0EAF-4E6E-960F-3EF07835721E}" srcOrd="1" destOrd="0" presId="urn:microsoft.com/office/officeart/2005/8/layout/lProcess2"/>
    <dgm:cxn modelId="{E5C10683-5124-4C6F-8E80-FBB6705FA9B6}" type="presParOf" srcId="{8CFC5A69-DB1C-4B06-8D0A-83F36398D54F}" destId="{B51912BE-C637-44AE-83D6-1E023F73D763}" srcOrd="2" destOrd="0" presId="urn:microsoft.com/office/officeart/2005/8/layout/lProcess2"/>
    <dgm:cxn modelId="{F031186F-B193-4EAE-ADA5-569C1AE70FF4}" type="presParOf" srcId="{B51912BE-C637-44AE-83D6-1E023F73D763}" destId="{B90CBA9E-7A98-4AF0-B126-8E3C13744470}" srcOrd="0" destOrd="0" presId="urn:microsoft.com/office/officeart/2005/8/layout/lProcess2"/>
    <dgm:cxn modelId="{CEAE5287-1C07-41EC-A14F-651102AB8919}" type="presParOf" srcId="{B90CBA9E-7A98-4AF0-B126-8E3C13744470}" destId="{6F85DA38-8515-4187-81C6-3C6D9C0CF1ED}" srcOrd="0" destOrd="0" presId="urn:microsoft.com/office/officeart/2005/8/layout/lProcess2"/>
    <dgm:cxn modelId="{1F4E8625-6481-4C93-9543-BE72573A7E34}" type="presParOf" srcId="{B90CBA9E-7A98-4AF0-B126-8E3C13744470}" destId="{D7AD3CFA-F36E-46B2-9FCB-DC33E991051C}" srcOrd="1" destOrd="0" presId="urn:microsoft.com/office/officeart/2005/8/layout/lProcess2"/>
    <dgm:cxn modelId="{A06A3ECD-17A4-4164-A698-9097C2F3B839}" type="presParOf" srcId="{B90CBA9E-7A98-4AF0-B126-8E3C13744470}" destId="{9C61B4A9-59A6-41A7-A5DA-A4F88C9B05EC}" srcOrd="2" destOrd="0" presId="urn:microsoft.com/office/officeart/2005/8/layout/lProcess2"/>
    <dgm:cxn modelId="{5EA513FB-B50A-4FD6-9E8B-6D717FF6265B}" type="presParOf" srcId="{B90CBA9E-7A98-4AF0-B126-8E3C13744470}" destId="{F4E566A6-2331-4D64-8A00-2241388C63C9}" srcOrd="3" destOrd="0" presId="urn:microsoft.com/office/officeart/2005/8/layout/lProcess2"/>
    <dgm:cxn modelId="{298E4BEF-B800-4E2A-8602-9802AFF092DD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386280"/>
          <a:ext cx="5486400" cy="604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97117" y="131368"/>
          <a:ext cx="5189256" cy="7084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місяців  2018 року (31926,3тис.грн.)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31702" y="165953"/>
        <a:ext cx="5120086" cy="639310"/>
      </dsp:txXfrm>
    </dsp:sp>
    <dsp:sp modelId="{298D072D-732E-45E1-B61E-2D9E2845DA40}">
      <dsp:nvSpPr>
        <dsp:cNvPr id="0" name=""/>
        <dsp:cNvSpPr/>
      </dsp:nvSpPr>
      <dsp:spPr>
        <a:xfrm>
          <a:off x="0" y="1474920"/>
          <a:ext cx="5486400" cy="604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85400" y="1120680"/>
          <a:ext cx="5210500" cy="708480"/>
        </a:xfrm>
        <a:prstGeom prst="round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9 місяців 2019 року. (36052,7тис.грн.)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19985" y="1155265"/>
        <a:ext cx="5141330" cy="639310"/>
      </dsp:txXfrm>
    </dsp:sp>
    <dsp:sp modelId="{92FB4DFA-33A5-47A1-A142-B69F92122232}">
      <dsp:nvSpPr>
        <dsp:cNvPr id="0" name=""/>
        <dsp:cNvSpPr/>
      </dsp:nvSpPr>
      <dsp:spPr>
        <a:xfrm>
          <a:off x="0" y="2563560"/>
          <a:ext cx="5486400" cy="604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33349" y="2266465"/>
          <a:ext cx="5189218" cy="708480"/>
        </a:xfrm>
        <a:prstGeom prst="round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4126,4 тис.грн., або 112,9% </a:t>
          </a:r>
        </a:p>
      </dsp:txBody>
      <dsp:txXfrm>
        <a:off x="167934" y="2301050"/>
        <a:ext cx="5120048" cy="63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94347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0"/>
        <a:ext cx="6162675" cy="494347"/>
      </dsp:txXfrm>
    </dsp:sp>
    <dsp:sp modelId="{AA2C7FBE-A683-447C-98C1-6693C7463562}">
      <dsp:nvSpPr>
        <dsp:cNvPr id="0" name=""/>
        <dsp:cNvSpPr/>
      </dsp:nvSpPr>
      <dsp:spPr>
        <a:xfrm>
          <a:off x="857" y="494347"/>
          <a:ext cx="2170869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- 765,2 тис.грн.</a:t>
          </a:r>
        </a:p>
      </dsp:txBody>
      <dsp:txXfrm>
        <a:off x="857" y="494347"/>
        <a:ext cx="2170869" cy="1038129"/>
      </dsp:txXfrm>
    </dsp:sp>
    <dsp:sp modelId="{92E200D2-BF6A-406B-991E-DEF1A3D6F8B7}">
      <dsp:nvSpPr>
        <dsp:cNvPr id="0" name=""/>
        <dsp:cNvSpPr/>
      </dsp:nvSpPr>
      <dsp:spPr>
        <a:xfrm>
          <a:off x="2171726" y="494347"/>
          <a:ext cx="1995045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2574,0 тис.грн.</a:t>
          </a:r>
        </a:p>
      </dsp:txBody>
      <dsp:txXfrm>
        <a:off x="2171726" y="494347"/>
        <a:ext cx="1995045" cy="1038129"/>
      </dsp:txXfrm>
    </dsp:sp>
    <dsp:sp modelId="{EE63E7A9-C424-4EE0-87C3-09471F56FF67}">
      <dsp:nvSpPr>
        <dsp:cNvPr id="0" name=""/>
        <dsp:cNvSpPr/>
      </dsp:nvSpPr>
      <dsp:spPr>
        <a:xfrm>
          <a:off x="4166772" y="494347"/>
          <a:ext cx="1995045" cy="103812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+1808,8 тис.грн. або 336,4%</a:t>
          </a:r>
        </a:p>
      </dsp:txBody>
      <dsp:txXfrm>
        <a:off x="4166772" y="494347"/>
        <a:ext cx="1995045" cy="1038129"/>
      </dsp:txXfrm>
    </dsp:sp>
    <dsp:sp modelId="{2B51B7EF-26D3-462D-9212-E7CEBAE28676}">
      <dsp:nvSpPr>
        <dsp:cNvPr id="0" name=""/>
        <dsp:cNvSpPr/>
      </dsp:nvSpPr>
      <dsp:spPr>
        <a:xfrm>
          <a:off x="0" y="1532477"/>
          <a:ext cx="6162675" cy="115347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71487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162675" cy="471487"/>
      </dsp:txXfrm>
    </dsp:sp>
    <dsp:sp modelId="{AA2C7FBE-A683-447C-98C1-6693C7463562}">
      <dsp:nvSpPr>
        <dsp:cNvPr id="0" name=""/>
        <dsp:cNvSpPr/>
      </dsp:nvSpPr>
      <dsp:spPr>
        <a:xfrm>
          <a:off x="3009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місяців2018 року - 352,6 тис.грн.</a:t>
          </a:r>
        </a:p>
      </dsp:txBody>
      <dsp:txXfrm>
        <a:off x="3009" y="471487"/>
        <a:ext cx="2052218" cy="990123"/>
      </dsp:txXfrm>
    </dsp:sp>
    <dsp:sp modelId="{92E200D2-BF6A-406B-991E-DEF1A3D6F8B7}">
      <dsp:nvSpPr>
        <dsp:cNvPr id="0" name=""/>
        <dsp:cNvSpPr/>
      </dsp:nvSpPr>
      <dsp:spPr>
        <a:xfrm>
          <a:off x="2055228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  697,1 тис.грн.</a:t>
          </a:r>
        </a:p>
      </dsp:txBody>
      <dsp:txXfrm>
        <a:off x="2055228" y="471487"/>
        <a:ext cx="2052218" cy="990123"/>
      </dsp:txXfrm>
    </dsp:sp>
    <dsp:sp modelId="{EE63E7A9-C424-4EE0-87C3-09471F56FF67}">
      <dsp:nvSpPr>
        <dsp:cNvPr id="0" name=""/>
        <dsp:cNvSpPr/>
      </dsp:nvSpPr>
      <dsp:spPr>
        <a:xfrm>
          <a:off x="4107446" y="471487"/>
          <a:ext cx="2052218" cy="99012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+344,5 тис.грн.                 або 197,7%</a:t>
          </a:r>
        </a:p>
      </dsp:txBody>
      <dsp:txXfrm>
        <a:off x="4107446" y="471487"/>
        <a:ext cx="2052218" cy="990123"/>
      </dsp:txXfrm>
    </dsp:sp>
    <dsp:sp modelId="{2B51B7EF-26D3-462D-9212-E7CEBAE28676}">
      <dsp:nvSpPr>
        <dsp:cNvPr id="0" name=""/>
        <dsp:cNvSpPr/>
      </dsp:nvSpPr>
      <dsp:spPr>
        <a:xfrm>
          <a:off x="0" y="1461611"/>
          <a:ext cx="6162675" cy="110013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54342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162675" cy="454342"/>
      </dsp:txXfrm>
    </dsp:sp>
    <dsp:sp modelId="{AA2C7FBE-A683-447C-98C1-6693C7463562}">
      <dsp:nvSpPr>
        <dsp:cNvPr id="0" name=""/>
        <dsp:cNvSpPr/>
      </dsp:nvSpPr>
      <dsp:spPr>
        <a:xfrm>
          <a:off x="3009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              6426,9 тис.грн.</a:t>
          </a:r>
        </a:p>
      </dsp:txBody>
      <dsp:txXfrm>
        <a:off x="3009" y="454342"/>
        <a:ext cx="2052218" cy="954119"/>
      </dsp:txXfrm>
    </dsp:sp>
    <dsp:sp modelId="{92E200D2-BF6A-406B-991E-DEF1A3D6F8B7}">
      <dsp:nvSpPr>
        <dsp:cNvPr id="0" name=""/>
        <dsp:cNvSpPr/>
      </dsp:nvSpPr>
      <dsp:spPr>
        <a:xfrm>
          <a:off x="2055228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9691,3 тис.грн.</a:t>
          </a:r>
        </a:p>
      </dsp:txBody>
      <dsp:txXfrm>
        <a:off x="2055228" y="454342"/>
        <a:ext cx="2052218" cy="954119"/>
      </dsp:txXfrm>
    </dsp:sp>
    <dsp:sp modelId="{EE63E7A9-C424-4EE0-87C3-09471F56FF67}">
      <dsp:nvSpPr>
        <dsp:cNvPr id="0" name=""/>
        <dsp:cNvSpPr/>
      </dsp:nvSpPr>
      <dsp:spPr>
        <a:xfrm>
          <a:off x="4107446" y="454342"/>
          <a:ext cx="2052218" cy="954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+3264,4 тис.грн. або 150,8%</a:t>
          </a:r>
        </a:p>
      </dsp:txBody>
      <dsp:txXfrm>
        <a:off x="4107446" y="454342"/>
        <a:ext cx="2052218" cy="954119"/>
      </dsp:txXfrm>
    </dsp:sp>
    <dsp:sp modelId="{2B51B7EF-26D3-462D-9212-E7CEBAE28676}">
      <dsp:nvSpPr>
        <dsp:cNvPr id="0" name=""/>
        <dsp:cNvSpPr/>
      </dsp:nvSpPr>
      <dsp:spPr>
        <a:xfrm>
          <a:off x="0" y="1408461"/>
          <a:ext cx="6162675" cy="106013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2675" cy="477202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0"/>
        <a:ext cx="6162675" cy="477202"/>
      </dsp:txXfrm>
    </dsp:sp>
    <dsp:sp modelId="{AA2C7FBE-A683-447C-98C1-6693C7463562}">
      <dsp:nvSpPr>
        <dsp:cNvPr id="0" name=""/>
        <dsp:cNvSpPr/>
      </dsp:nvSpPr>
      <dsp:spPr>
        <a:xfrm>
          <a:off x="3009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2018 року -                 1658,5 тис.грн.</a:t>
          </a:r>
        </a:p>
      </dsp:txBody>
      <dsp:txXfrm>
        <a:off x="3009" y="477202"/>
        <a:ext cx="2052218" cy="1002125"/>
      </dsp:txXfrm>
    </dsp:sp>
    <dsp:sp modelId="{92E200D2-BF6A-406B-991E-DEF1A3D6F8B7}">
      <dsp:nvSpPr>
        <dsp:cNvPr id="0" name=""/>
        <dsp:cNvSpPr/>
      </dsp:nvSpPr>
      <dsp:spPr>
        <a:xfrm>
          <a:off x="2055228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 місяців 2019 року -                1663,2 тис.грн.</a:t>
          </a:r>
        </a:p>
      </dsp:txBody>
      <dsp:txXfrm>
        <a:off x="2055228" y="477202"/>
        <a:ext cx="2052218" cy="1002125"/>
      </dsp:txXfrm>
    </dsp:sp>
    <dsp:sp modelId="{EE63E7A9-C424-4EE0-87C3-09471F56FF67}">
      <dsp:nvSpPr>
        <dsp:cNvPr id="0" name=""/>
        <dsp:cNvSpPr/>
      </dsp:nvSpPr>
      <dsp:spPr>
        <a:xfrm>
          <a:off x="4107446" y="477202"/>
          <a:ext cx="2052218" cy="1002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+4,7 тис.грн.            або 100,2%</a:t>
          </a:r>
        </a:p>
      </dsp:txBody>
      <dsp:txXfrm>
        <a:off x="4107446" y="477202"/>
        <a:ext cx="2052218" cy="1002125"/>
      </dsp:txXfrm>
    </dsp:sp>
    <dsp:sp modelId="{2B51B7EF-26D3-462D-9212-E7CEBAE28676}">
      <dsp:nvSpPr>
        <dsp:cNvPr id="0" name=""/>
        <dsp:cNvSpPr/>
      </dsp:nvSpPr>
      <dsp:spPr>
        <a:xfrm>
          <a:off x="0" y="1479327"/>
          <a:ext cx="6162675" cy="11134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5045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sp:txBody>
      <dsp:txXfrm>
        <a:off x="1215" y="0"/>
        <a:ext cx="1995045" cy="1097280"/>
      </dsp:txXfrm>
    </dsp:sp>
    <dsp:sp modelId="{B995AA39-D88B-4F5D-A2D0-044F059CE9BB}">
      <dsp:nvSpPr>
        <dsp:cNvPr id="0" name=""/>
        <dsp:cNvSpPr/>
      </dsp:nvSpPr>
      <dsp:spPr>
        <a:xfrm>
          <a:off x="1207" y="925071"/>
          <a:ext cx="1939695" cy="67683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місяців 2018 року - 320,3 тис.грн.                </a:t>
          </a:r>
        </a:p>
      </dsp:txBody>
      <dsp:txXfrm>
        <a:off x="21031" y="944895"/>
        <a:ext cx="1900047" cy="637182"/>
      </dsp:txXfrm>
    </dsp:sp>
    <dsp:sp modelId="{2C596296-6704-4CC8-B9BF-52C838285E88}">
      <dsp:nvSpPr>
        <dsp:cNvPr id="0" name=""/>
        <dsp:cNvSpPr/>
      </dsp:nvSpPr>
      <dsp:spPr>
        <a:xfrm>
          <a:off x="1199" y="1752026"/>
          <a:ext cx="1909609" cy="614226"/>
        </a:xfrm>
        <a:prstGeom prst="roundRect">
          <a:avLst>
            <a:gd name="adj" fmla="val 10000"/>
          </a:avLst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місяціів 2019 року - 319,0 тис.грн.</a:t>
          </a:r>
        </a:p>
      </dsp:txBody>
      <dsp:txXfrm>
        <a:off x="19189" y="1770016"/>
        <a:ext cx="1873629" cy="578246"/>
      </dsp:txXfrm>
    </dsp:sp>
    <dsp:sp modelId="{22A2A73C-654B-4587-AA91-934DBD585DC4}">
      <dsp:nvSpPr>
        <dsp:cNvPr id="0" name=""/>
        <dsp:cNvSpPr/>
      </dsp:nvSpPr>
      <dsp:spPr>
        <a:xfrm>
          <a:off x="1199" y="2512844"/>
          <a:ext cx="1947531" cy="767885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-1,3 тис.грн.,            або 99,6%</a:t>
          </a:r>
        </a:p>
      </dsp:txBody>
      <dsp:txXfrm>
        <a:off x="23690" y="2535335"/>
        <a:ext cx="1902549" cy="722903"/>
      </dsp:txXfrm>
    </dsp:sp>
    <dsp:sp modelId="{E9F66DB0-F6F9-4B80-B84F-9BDE22F808C2}">
      <dsp:nvSpPr>
        <dsp:cNvPr id="0" name=""/>
        <dsp:cNvSpPr/>
      </dsp:nvSpPr>
      <dsp:spPr>
        <a:xfrm>
          <a:off x="2152226" y="0"/>
          <a:ext cx="1995045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sp:txBody>
      <dsp:txXfrm>
        <a:off x="2152226" y="0"/>
        <a:ext cx="1995045" cy="1097280"/>
      </dsp:txXfrm>
    </dsp:sp>
    <dsp:sp modelId="{57A443D7-5825-44BD-A5ED-C6E1FF409E42}">
      <dsp:nvSpPr>
        <dsp:cNvPr id="0" name=""/>
        <dsp:cNvSpPr/>
      </dsp:nvSpPr>
      <dsp:spPr>
        <a:xfrm>
          <a:off x="2127686" y="972183"/>
          <a:ext cx="2006201" cy="662492"/>
        </a:xfrm>
        <a:prstGeom prst="roundRect">
          <a:avLst>
            <a:gd name="adj" fmla="val 10000"/>
          </a:avLst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місяціів 2018 року- 4661,0 тис.грн.</a:t>
          </a:r>
        </a:p>
      </dsp:txBody>
      <dsp:txXfrm>
        <a:off x="2147090" y="991587"/>
        <a:ext cx="1967393" cy="623684"/>
      </dsp:txXfrm>
    </dsp:sp>
    <dsp:sp modelId="{74A7BFD7-DE4B-4CEF-9E5B-9E14C4720914}">
      <dsp:nvSpPr>
        <dsp:cNvPr id="0" name=""/>
        <dsp:cNvSpPr/>
      </dsp:nvSpPr>
      <dsp:spPr>
        <a:xfrm>
          <a:off x="2187426" y="1797346"/>
          <a:ext cx="1924644" cy="590504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місяціів 2019 року -5408,3 тис.грн. </a:t>
          </a:r>
        </a:p>
      </dsp:txBody>
      <dsp:txXfrm>
        <a:off x="2204721" y="1814641"/>
        <a:ext cx="1890054" cy="555914"/>
      </dsp:txXfrm>
    </dsp:sp>
    <dsp:sp modelId="{7E0E7086-0779-4EE4-90A2-E516F5E4B779}">
      <dsp:nvSpPr>
        <dsp:cNvPr id="0" name=""/>
        <dsp:cNvSpPr/>
      </dsp:nvSpPr>
      <dsp:spPr>
        <a:xfrm>
          <a:off x="2215867" y="2600273"/>
          <a:ext cx="1867761" cy="692382"/>
        </a:xfrm>
        <a:prstGeom prst="roundRect">
          <a:avLst>
            <a:gd name="adj" fmla="val 10000"/>
          </a:avLst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+747,3 тис.грн.,   або 116,0%</a:t>
          </a:r>
        </a:p>
      </dsp:txBody>
      <dsp:txXfrm>
        <a:off x="2236146" y="2620552"/>
        <a:ext cx="1827203" cy="651824"/>
      </dsp:txXfrm>
    </dsp:sp>
    <dsp:sp modelId="{173929A1-967C-4CFB-9E9C-8B27F18FDFFF}">
      <dsp:nvSpPr>
        <dsp:cNvPr id="0" name=""/>
        <dsp:cNvSpPr/>
      </dsp:nvSpPr>
      <dsp:spPr>
        <a:xfrm>
          <a:off x="4310266" y="0"/>
          <a:ext cx="1995045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sp:txBody>
      <dsp:txXfrm>
        <a:off x="4310266" y="0"/>
        <a:ext cx="1995045" cy="1097280"/>
      </dsp:txXfrm>
    </dsp:sp>
    <dsp:sp modelId="{6F85DA38-8515-4187-81C6-3C6D9C0CF1ED}">
      <dsp:nvSpPr>
        <dsp:cNvPr id="0" name=""/>
        <dsp:cNvSpPr/>
      </dsp:nvSpPr>
      <dsp:spPr>
        <a:xfrm>
          <a:off x="4367559" y="957140"/>
          <a:ext cx="1947515" cy="589484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місяціів 2018 року -  3195,3 тис.грн.</a:t>
          </a:r>
        </a:p>
      </dsp:txBody>
      <dsp:txXfrm>
        <a:off x="4384824" y="974405"/>
        <a:ext cx="1912985" cy="554954"/>
      </dsp:txXfrm>
    </dsp:sp>
    <dsp:sp modelId="{9C61B4A9-59A6-41A7-A5DA-A4F88C9B05EC}">
      <dsp:nvSpPr>
        <dsp:cNvPr id="0" name=""/>
        <dsp:cNvSpPr/>
      </dsp:nvSpPr>
      <dsp:spPr>
        <a:xfrm>
          <a:off x="4366383" y="1807521"/>
          <a:ext cx="1939695" cy="628287"/>
        </a:xfrm>
        <a:prstGeom prst="roundRect">
          <a:avLst>
            <a:gd name="adj" fmla="val 10000"/>
          </a:avLst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9 місяціів 2019 року -        3364,8 тис.грн. </a:t>
          </a:r>
        </a:p>
      </dsp:txBody>
      <dsp:txXfrm>
        <a:off x="4384785" y="1825923"/>
        <a:ext cx="1902891" cy="591483"/>
      </dsp:txXfrm>
    </dsp:sp>
    <dsp:sp modelId="{95088396-CEC1-45DD-804F-0F41AADB86E3}">
      <dsp:nvSpPr>
        <dsp:cNvPr id="0" name=""/>
        <dsp:cNvSpPr/>
      </dsp:nvSpPr>
      <dsp:spPr>
        <a:xfrm>
          <a:off x="4298551" y="2671195"/>
          <a:ext cx="2010622" cy="643017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 +169,4 тис.грн.,      або 105,3%</a:t>
          </a:r>
        </a:p>
      </dsp:txBody>
      <dsp:txXfrm>
        <a:off x="4317384" y="2690028"/>
        <a:ext cx="1972956" cy="605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0.75508</cdr:y>
    </cdr:from>
    <cdr:to>
      <cdr:x>0.24505</cdr:x>
      <cdr:y>0.82122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0" y="3660775"/>
          <a:ext cx="1575518" cy="32067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400" b="1"/>
            <a:t>100932,6 тис.грн.</a:t>
          </a:r>
        </a:p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1.55536E-7</cdr:x>
      <cdr:y>0.48574</cdr:y>
    </cdr:from>
    <cdr:to>
      <cdr:x>0.24889</cdr:x>
      <cdr:y>0.55414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" y="2354963"/>
          <a:ext cx="1600199" cy="33161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400" b="1" baseline="0"/>
            <a:t>117866,3 </a:t>
          </a:r>
          <a:r>
            <a:rPr lang="uk-UA" sz="1400" b="1"/>
            <a:t>тис.грн.</a:t>
          </a:r>
        </a:p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0.76593</cdr:x>
      <cdr:y>0.53831</cdr:y>
    </cdr:from>
    <cdr:to>
      <cdr:x>0.96593</cdr:x>
      <cdr:y>0.59529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4924424" y="2609850"/>
          <a:ext cx="1285901" cy="27622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uk-UA" sz="1200" b="1"/>
            <a:t>+16933,7тис.грн. (114,1%) </a:t>
          </a:r>
        </a:p>
        <a:p xmlns:a="http://schemas.openxmlformats.org/drawingml/2006/main">
          <a:endParaRPr lang="uk-UA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0.04056</cdr:x>
      <cdr:y>0.0986</cdr:y>
    </cdr:from>
    <cdr:to>
      <cdr:x>0.39314</cdr:x>
      <cdr:y>0.24444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7650" y="549412"/>
          <a:ext cx="2152676" cy="8126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uk-UA" sz="1400" b="1" cap="none" spc="0">
              <a:ln w="1225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rgbClr val="C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</a:rPr>
            <a:t>Офіційні трансферти         + 2435,2 тис.грн., 105,6%</a:t>
          </a:r>
        </a:p>
      </cdr:txBody>
    </cdr:sp>
  </cdr:relSizeAnchor>
  <cdr:relSizeAnchor xmlns:cdr="http://schemas.openxmlformats.org/drawingml/2006/chartDrawing">
    <cdr:from>
      <cdr:x>0.4961</cdr:x>
      <cdr:y>0.10447</cdr:y>
    </cdr:from>
    <cdr:to>
      <cdr:x>0.87052</cdr:x>
      <cdr:y>0.24274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0800000" flipH="1" flipV="1">
          <a:off x="3028950" y="582120"/>
          <a:ext cx="2286032" cy="77043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uk-UA" sz="1400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solidFill>
                <a:schemeClr val="tx2"/>
              </a:solidFill>
            </a:rPr>
            <a:t>Податки, збори та інші платежі                                    + 14498,5 тис.грн., 125,3%</a:t>
          </a:r>
        </a:p>
        <a:p xmlns:a="http://schemas.openxmlformats.org/drawingml/2006/main">
          <a:endParaRPr lang="uk-UA" sz="1400">
            <a:ln>
              <a:solidFill>
                <a:schemeClr val="tx2">
                  <a:lumMod val="60000"/>
                  <a:lumOff val="40000"/>
                </a:schemeClr>
              </a:solidFill>
            </a:ln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vertOverflow="clip"/>
      <a:lstStyle>
        <a:defPPr marL="0" marR="0" indent="0" algn="r" defTabSz="914400" eaLnBrk="1" fontAlgn="auto" latinLnBrk="0" hangingPunct="1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sz="1400" b="1"/>
        </a:defPPr>
      </a:lstStyle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8625-A8C6-4FD3-A55E-01A032B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13</Pages>
  <Words>13456</Words>
  <Characters>7670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242</cp:revision>
  <cp:lastPrinted>2019-10-30T11:35:00Z</cp:lastPrinted>
  <dcterms:created xsi:type="dcterms:W3CDTF">2019-04-24T09:11:00Z</dcterms:created>
  <dcterms:modified xsi:type="dcterms:W3CDTF">2019-10-31T12:35:00Z</dcterms:modified>
</cp:coreProperties>
</file>