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Pr="00412DDA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412DDA">
        <w:rPr>
          <w:rFonts w:ascii="Times New Roman" w:hAnsi="Times New Roman"/>
          <w:color w:val="000000"/>
          <w:sz w:val="28"/>
          <w:szCs w:val="28"/>
        </w:rPr>
        <w:br/>
      </w: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стан виконання  бюджету </w:t>
      </w:r>
      <w:proofErr w:type="spellStart"/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>Новоукраїнської</w:t>
      </w:r>
      <w:proofErr w:type="spellEnd"/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міської територіальної громади за </w:t>
      </w:r>
      <w:r w:rsidR="00C01E06" w:rsidRPr="00412DDA">
        <w:rPr>
          <w:rFonts w:ascii="Times New Roman" w:hAnsi="Times New Roman"/>
          <w:b/>
          <w:bCs/>
          <w:color w:val="000000"/>
          <w:sz w:val="28"/>
          <w:szCs w:val="28"/>
        </w:rPr>
        <w:t>1 квартал</w:t>
      </w:r>
      <w:r w:rsidR="00704178"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C01E06" w:rsidRPr="00412DDA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C01E06">
        <w:rPr>
          <w:rFonts w:ascii="Times New Roman" w:hAnsi="Times New Roman"/>
          <w:color w:val="000000"/>
          <w:sz w:val="28"/>
          <w:szCs w:val="28"/>
        </w:rPr>
        <w:t>1 квартал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01E06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бюджет громади отримав доходів (враховуючи офіційні трансферти) у сумі </w:t>
      </w:r>
      <w:r w:rsidR="00C01E06">
        <w:rPr>
          <w:rFonts w:ascii="Times New Roman" w:hAnsi="Times New Roman"/>
          <w:color w:val="000000"/>
          <w:sz w:val="28"/>
          <w:szCs w:val="28"/>
        </w:rPr>
        <w:t>45 256,2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C01E06">
        <w:rPr>
          <w:rFonts w:ascii="Times New Roman" w:hAnsi="Times New Roman"/>
          <w:color w:val="000000"/>
          <w:sz w:val="28"/>
          <w:szCs w:val="28"/>
        </w:rPr>
        <w:t>106,7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C01E06">
        <w:rPr>
          <w:rFonts w:ascii="Times New Roman" w:hAnsi="Times New Roman"/>
          <w:color w:val="000000"/>
          <w:sz w:val="28"/>
          <w:szCs w:val="28"/>
        </w:rPr>
        <w:t>42 432,9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з них до: </w:t>
      </w: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C01E06">
        <w:rPr>
          <w:rFonts w:ascii="Times New Roman" w:hAnsi="Times New Roman"/>
          <w:color w:val="000000"/>
          <w:sz w:val="28"/>
          <w:szCs w:val="28"/>
        </w:rPr>
        <w:t>38 977,9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C01E06">
        <w:rPr>
          <w:rFonts w:ascii="Times New Roman" w:hAnsi="Times New Roman"/>
          <w:color w:val="000000"/>
          <w:sz w:val="28"/>
          <w:szCs w:val="28"/>
        </w:rPr>
        <w:t>99,4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>менше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17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1E06">
        <w:rPr>
          <w:rFonts w:ascii="Times New Roman" w:hAnsi="Times New Roman"/>
          <w:color w:val="000000"/>
          <w:sz w:val="28"/>
          <w:szCs w:val="28"/>
        </w:rPr>
        <w:t>235,9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C01E06">
        <w:rPr>
          <w:rFonts w:ascii="Times New Roman" w:hAnsi="Times New Roman"/>
          <w:color w:val="000000"/>
          <w:sz w:val="28"/>
          <w:szCs w:val="28"/>
        </w:rPr>
        <w:t>39 213,7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C01E06">
        <w:rPr>
          <w:rFonts w:ascii="Times New Roman" w:hAnsi="Times New Roman"/>
          <w:color w:val="000000"/>
          <w:sz w:val="28"/>
          <w:szCs w:val="28"/>
        </w:rPr>
        <w:t>6 278,</w:t>
      </w:r>
      <w:r w:rsidR="007C3950">
        <w:rPr>
          <w:rFonts w:ascii="Times New Roman" w:hAnsi="Times New Roman"/>
          <w:color w:val="000000"/>
          <w:sz w:val="28"/>
          <w:szCs w:val="28"/>
        </w:rPr>
        <w:t>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C01E06">
        <w:rPr>
          <w:rFonts w:ascii="Times New Roman" w:hAnsi="Times New Roman"/>
          <w:color w:val="000000"/>
          <w:sz w:val="28"/>
          <w:szCs w:val="28"/>
        </w:rPr>
        <w:t>195,0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 виконання), що на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C01E06">
        <w:rPr>
          <w:rFonts w:ascii="Times New Roman" w:hAnsi="Times New Roman"/>
          <w:color w:val="000000"/>
          <w:sz w:val="28"/>
          <w:szCs w:val="28"/>
        </w:rPr>
        <w:t>3 059,2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C01E06">
        <w:rPr>
          <w:rFonts w:ascii="Times New Roman" w:hAnsi="Times New Roman"/>
          <w:color w:val="000000"/>
          <w:sz w:val="28"/>
          <w:szCs w:val="28"/>
        </w:rPr>
        <w:t>3 219,1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тис.грн. </w:t>
      </w:r>
    </w:p>
    <w:p w:rsidR="00704178" w:rsidRPr="00AC43D0" w:rsidRDefault="00704178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11FC5" w:rsidRDefault="00563F2B" w:rsidP="002A679D">
      <w:pPr>
        <w:shd w:val="clear" w:color="auto" w:fill="A8CBEE" w:themeFill="accent2" w:themeFillTint="66"/>
        <w:spacing w:after="0" w:line="240" w:lineRule="auto"/>
        <w:jc w:val="both"/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D0D0D" w:themeColor="text1" w:themeTint="F2"/>
          <w:sz w:val="24"/>
          <w:szCs w:val="24"/>
          <w:lang w:eastAsia="uk-UA"/>
        </w:rPr>
        <w:pict>
          <v:roundrect id="_s1045" o:spid="_x0000_s1040" style="position:absolute;left:0;text-align:left;margin-left:22.5pt;margin-top:64.55pt;width:200.15pt;height:17.25pt;z-index:251658240;v-text-anchor:middle" arcsize="10923f" o:dgmlayout="0" o:dgmnodekind="0" fillcolor="#b2bbcb [1942]">
            <v:textbox style="mso-next-textbox:#_s1045" inset="0,0,0,0">
              <w:txbxContent>
                <w:p w:rsidR="00A85A32" w:rsidRPr="001541C2" w:rsidRDefault="00A85A32" w:rsidP="007C6102">
                  <w:pPr>
                    <w:shd w:val="clear" w:color="auto" w:fill="D3E5F6" w:themeFill="accent2" w:themeFillTint="33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1 квартал 2020</w:t>
                  </w:r>
                  <w:r w:rsidRPr="001541C2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року</w:t>
                  </w:r>
                </w:p>
              </w:txbxContent>
            </v:textbox>
          </v:roundrect>
        </w:pict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029" o:spid="_x0000_s1029" type="#_x0000_t35" style="position:absolute;left:1484;top:7525;width:2631;height:1800;rotation:180;flip:x" o:connectortype="elbow" adj="-752,12960,539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115;top:7525;width:249;height:1800;rotation:180" o:connectortype="elbow" adj="-307490,-77720,-307490" strokeweight="2.25pt"/>
            <v:shape id="_s1031" o:spid="_x0000_s1031" type="#_x0000_t33" style="position:absolute;left:4115;top:7525;width:249;height:1019;rotation:180" o:connectortype="elbow" adj="-307490,-120700,-307490" strokeweight="2.25pt"/>
            <v:shape id="_s1032" o:spid="_x0000_s1032" type="#_x0000_t35" style="position:absolute;left:1484;top:8965;width:2473;height:720;rotation:180;flip:x" o:connectortype="elbow" adj="-801,16200,4871" strokeweight="2.25pt"/>
            <v:roundrect id="_s1033" o:spid="_x0000_s1033" style="position:absolute;left:1959;top:6805;width:4313;height:720;v-text-anchor:middle" arcsize="10923f" o:dgmlayout="1" o:dgmnodekind="1" o:dgmlayoutmru="1" fillcolor="#b2bbcb [1942]">
              <v:textbox style="mso-next-textbox:#_s1033" inset="0,0,0,0">
                <w:txbxContent>
                  <w:p w:rsidR="00A85A32" w:rsidRPr="007C6102" w:rsidRDefault="00A85A32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</w:pPr>
                    <w:r w:rsidRPr="007C6102">
                      <w:rPr>
                        <w:rFonts w:ascii="Times New Roman" w:hAnsi="Times New Roman"/>
                        <w:b/>
                        <w:color w:val="002060"/>
                        <w:sz w:val="30"/>
                        <w:szCs w:val="30"/>
                        <w:shd w:val="clear" w:color="auto" w:fill="D3E5F6" w:themeFill="accent2" w:themeFillTint="33"/>
                      </w:rPr>
                      <w:t>Динаміка надходжень загального та спеціального фондів,</w:t>
                    </w:r>
                    <w:r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>тис.грн</w:t>
                    </w:r>
                    <w:proofErr w:type="spellEnd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 xml:space="preserve">. </w:t>
                    </w:r>
                  </w:p>
                  <w:p w:rsidR="00A85A32" w:rsidRDefault="00A85A32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roundrect id="_s1034" o:spid="_x0000_s1034" style="position:absolute;left:1484;top:8184;width:2160;height:720;v-text-anchor:middle" arcsize="10923f" o:dgmlayout="0" o:dgmnodekind="0" fillcolor="#b2bbcb [1942]">
              <v:textbox style="mso-next-textbox:#_s1034" inset="0,0,0,0">
                <w:txbxContent>
                  <w:p w:rsidR="00A85A32" w:rsidRPr="001541C2" w:rsidRDefault="00A85A32" w:rsidP="001541C2">
                    <w:pPr>
                      <w:jc w:val="center"/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34 569,2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s1035" o:spid="_x0000_s1035" style="position:absolute;left:4364;top:8184;width:2160;height:720;v-text-anchor:middle" arcsize="10923f" o:dgmlayout="0" o:dgmnodekind="0" fillcolor="#b2bbcb [1942]">
              <v:textbox style="mso-next-textbox:#_s1035" inset="0,0,0,0">
                <w:txbxContent>
                  <w:p w:rsidR="00A85A32" w:rsidRPr="001541C2" w:rsidRDefault="00A85A32" w:rsidP="00DC518D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38 977,9</w:t>
                    </w:r>
                  </w:p>
                  <w:p w:rsidR="00A85A32" w:rsidRPr="00C16C73" w:rsidRDefault="00A85A32" w:rsidP="001541C2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b2bbcb [1942]">
              <v:textbox style="mso-next-textbox:#_s1036" inset="0,0,0,0">
                <w:txbxContent>
                  <w:p w:rsidR="00A85A32" w:rsidRPr="00DC518D" w:rsidRDefault="00A85A32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6 278,3</w:t>
                    </w:r>
                  </w:p>
                  <w:p w:rsidR="00A85A32" w:rsidRPr="00C16C73" w:rsidRDefault="00A85A32" w:rsidP="001541C2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b2bbcb [1942]">
              <v:textbox style="mso-next-textbox:#_s1037" inset="0,0,0,0">
                <w:txbxContent>
                  <w:p w:rsidR="00A85A32" w:rsidRPr="001541C2" w:rsidRDefault="00A85A32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2 719,8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position:absolute;left:3580;top:8045;width:909;height:800">
              <v:textbox style="mso-next-textbox:#_x0000_s1038">
                <w:txbxContent>
                  <w:p w:rsidR="00A85A32" w:rsidRPr="00DC518D" w:rsidRDefault="00A85A32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+ 4 408,7 </w:t>
                    </w:r>
                  </w:p>
                </w:txbxContent>
              </v:textbox>
            </v:shape>
            <v:roundrect id="_s1112" o:spid="_x0000_s1057" style="position:absolute;left:4195;top:7655;width:2123;height:230;v-text-anchor:middle" arcsize="10923f" o:dgmlayout="0" o:dgmnodekind="0" fillcolor="#b2bbcb [1942]">
              <v:textbox style="mso-next-textbox:#_s1112" inset="0,0,0,0">
                <w:txbxContent>
                  <w:p w:rsidR="00A85A32" w:rsidRPr="001541C2" w:rsidRDefault="00A85A32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 квартал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202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року</w:t>
                    </w:r>
                  </w:p>
                  <w:p w:rsidR="00A85A32" w:rsidRPr="00C16C73" w:rsidRDefault="00A85A32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shape id="_x0000_s1026" type="#_x0000_t13" style="position:absolute;left:3580;top:8806;width:909;height:879">
              <v:textbox style="mso-next-textbox:#_x0000_s1026">
                <w:txbxContent>
                  <w:p w:rsidR="00A85A32" w:rsidRPr="00DC518D" w:rsidRDefault="00A85A32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+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3 558,5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7570" w:rsidRDefault="00117570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5794">
                <wp:simplePos x="0" y="0"/>
                <wp:positionH relativeFrom="column">
                  <wp:posOffset>819150</wp:posOffset>
                </wp:positionH>
                <wp:positionV relativeFrom="paragraph">
                  <wp:posOffset>4458970</wp:posOffset>
                </wp:positionV>
                <wp:extent cx="3083560" cy="1714500"/>
                <wp:effectExtent l="133350" t="20320" r="21590" b="1778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083560" cy="1714500"/>
                        </a:xfrm>
                        <a:prstGeom prst="bentConnector4">
                          <a:avLst>
                            <a:gd name="adj1" fmla="val -3708"/>
                            <a:gd name="adj2" fmla="val 6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F35806" id="Соединительная линия уступом 12" o:spid="_x0000_s1026" type="#_x0000_t35" style="position:absolute;margin-left:64.5pt;margin-top:351.1pt;width:242.8pt;height:13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" adj="-801,12960" strokeweight="2.25pt"/>
            </w:pict>
          </mc:Fallback>
        </mc:AlternateContent>
      </w:r>
    </w:p>
    <w:p w:rsidR="00412DDA" w:rsidRDefault="00F817CD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14F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3701D" w:rsidRPr="007114F6">
        <w:rPr>
          <w:rFonts w:ascii="Times New Roman" w:hAnsi="Times New Roman"/>
          <w:color w:val="000000"/>
          <w:sz w:val="28"/>
          <w:szCs w:val="28"/>
        </w:rPr>
        <w:t xml:space="preserve">цілому у 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звітному році  надходження до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бюдже</w:t>
      </w:r>
      <w:r w:rsidR="002E54DA" w:rsidRPr="007114F6">
        <w:rPr>
          <w:rFonts w:ascii="Times New Roman" w:hAnsi="Times New Roman"/>
          <w:color w:val="000000"/>
          <w:sz w:val="28"/>
          <w:szCs w:val="28"/>
        </w:rPr>
        <w:t xml:space="preserve">ту громади у порівнянні з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20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 роком 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7 967,2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7114F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7114F6">
        <w:rPr>
          <w:rFonts w:ascii="Times New Roman" w:hAnsi="Times New Roman"/>
          <w:color w:val="000000"/>
          <w:sz w:val="28"/>
          <w:szCs w:val="28"/>
        </w:rPr>
        <w:t>.</w:t>
      </w:r>
      <w:r w:rsidR="00853C27" w:rsidRPr="007114F6"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21,3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521A65" w:rsidRPr="007114F6">
        <w:rPr>
          <w:rFonts w:ascii="Times New Roman" w:hAnsi="Times New Roman"/>
          <w:color w:val="000000"/>
          <w:sz w:val="28"/>
          <w:szCs w:val="28"/>
        </w:rPr>
        <w:t xml:space="preserve">У 2021 році відслідковується зростання надходжень до бюджету громади у зв'язку із приєднанням територій </w:t>
      </w:r>
      <w:proofErr w:type="spellStart"/>
      <w:r w:rsidR="00521A65" w:rsidRPr="007114F6">
        <w:rPr>
          <w:rFonts w:ascii="Times New Roman" w:hAnsi="Times New Roman"/>
          <w:color w:val="000000"/>
          <w:sz w:val="28"/>
          <w:szCs w:val="28"/>
        </w:rPr>
        <w:t>Захарівської</w:t>
      </w:r>
      <w:proofErr w:type="spellEnd"/>
      <w:r w:rsidR="00521A65" w:rsidRPr="007114F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="00521A65" w:rsidRPr="007114F6">
        <w:rPr>
          <w:rFonts w:ascii="Times New Roman" w:hAnsi="Times New Roman"/>
          <w:color w:val="000000"/>
          <w:sz w:val="28"/>
          <w:szCs w:val="28"/>
        </w:rPr>
        <w:t>Фурманівської</w:t>
      </w:r>
      <w:proofErr w:type="spellEnd"/>
      <w:r w:rsidR="00521A65" w:rsidRPr="007114F6">
        <w:rPr>
          <w:rFonts w:ascii="Times New Roman" w:hAnsi="Times New Roman"/>
          <w:color w:val="000000"/>
          <w:sz w:val="28"/>
          <w:szCs w:val="28"/>
        </w:rPr>
        <w:t xml:space="preserve"> сільських рад до територіальної громади.</w:t>
      </w:r>
    </w:p>
    <w:p w:rsidR="00797142" w:rsidRDefault="00267BAA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Д</w:t>
      </w:r>
      <w:r w:rsidR="00AA6A45">
        <w:rPr>
          <w:rFonts w:ascii="Times New Roman" w:hAnsi="Times New Roman"/>
          <w:color w:val="000000"/>
          <w:sz w:val="28"/>
          <w:szCs w:val="28"/>
        </w:rPr>
        <w:t>о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ходи загального фонду за </w:t>
      </w:r>
      <w:r w:rsidR="00CF57D3">
        <w:rPr>
          <w:rFonts w:ascii="Times New Roman" w:hAnsi="Times New Roman"/>
          <w:color w:val="000000"/>
          <w:sz w:val="28"/>
          <w:szCs w:val="28"/>
        </w:rPr>
        <w:t>1 квартал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="00CF57D3">
        <w:rPr>
          <w:rFonts w:ascii="Times New Roman" w:hAnsi="Times New Roman"/>
          <w:color w:val="000000"/>
          <w:sz w:val="28"/>
          <w:szCs w:val="28"/>
        </w:rPr>
        <w:t>збільшились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E512D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CF57D3">
        <w:rPr>
          <w:rFonts w:ascii="Times New Roman" w:hAnsi="Times New Roman"/>
          <w:color w:val="000000"/>
          <w:sz w:val="28"/>
          <w:szCs w:val="28"/>
        </w:rPr>
        <w:t>4 408,7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413DC1" w:rsidRPr="00BC46A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BC46A0">
        <w:rPr>
          <w:rFonts w:ascii="Times New Roman" w:hAnsi="Times New Roman"/>
          <w:color w:val="000000"/>
          <w:sz w:val="28"/>
          <w:szCs w:val="28"/>
        </w:rPr>
        <w:t xml:space="preserve">. або 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F57D3">
        <w:rPr>
          <w:rFonts w:ascii="Times New Roman" w:hAnsi="Times New Roman"/>
          <w:color w:val="000000"/>
          <w:sz w:val="28"/>
          <w:szCs w:val="28"/>
        </w:rPr>
        <w:t>12,8</w:t>
      </w:r>
      <w:r w:rsidR="00413DC1" w:rsidRPr="00BC46A0">
        <w:rPr>
          <w:rFonts w:ascii="Times New Roman" w:hAnsi="Times New Roman"/>
          <w:color w:val="000000"/>
          <w:sz w:val="28"/>
          <w:szCs w:val="28"/>
        </w:rPr>
        <w:t xml:space="preserve"> % у порівнянні з відповідним періодом 20</w:t>
      </w:r>
      <w:r w:rsidR="00CF57D3">
        <w:rPr>
          <w:rFonts w:ascii="Times New Roman" w:hAnsi="Times New Roman"/>
          <w:color w:val="000000"/>
          <w:sz w:val="28"/>
          <w:szCs w:val="28"/>
        </w:rPr>
        <w:t>20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6A0">
        <w:rPr>
          <w:rFonts w:ascii="Times New Roman" w:hAnsi="Times New Roman"/>
          <w:color w:val="000000"/>
          <w:sz w:val="28"/>
          <w:szCs w:val="28"/>
        </w:rPr>
        <w:t>року</w:t>
      </w:r>
      <w:r w:rsidR="00797142" w:rsidRPr="00904765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CF57D3" w:rsidRDefault="00413DC1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BD5">
        <w:rPr>
          <w:rFonts w:ascii="Times New Roman" w:hAnsi="Times New Roman"/>
          <w:color w:val="000000"/>
          <w:sz w:val="28"/>
          <w:szCs w:val="28"/>
        </w:rPr>
        <w:t xml:space="preserve">Доходи спеціального фонду за </w:t>
      </w:r>
      <w:r w:rsidR="00CF57D3">
        <w:rPr>
          <w:rFonts w:ascii="Times New Roman" w:hAnsi="Times New Roman"/>
          <w:color w:val="000000"/>
          <w:sz w:val="28"/>
          <w:szCs w:val="28"/>
        </w:rPr>
        <w:t>1 квартал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року збільшились на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3 558,5 </w:t>
      </w:r>
      <w:proofErr w:type="spellStart"/>
      <w:r w:rsidR="00267BAA" w:rsidRPr="007C4BD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C4BD5">
        <w:rPr>
          <w:rFonts w:ascii="Times New Roman" w:hAnsi="Times New Roman"/>
          <w:color w:val="000000"/>
          <w:sz w:val="28"/>
          <w:szCs w:val="28"/>
        </w:rPr>
        <w:t>у порівнянні з відповідним періодом 20</w:t>
      </w:r>
      <w:r w:rsidR="00CF57D3">
        <w:rPr>
          <w:rFonts w:ascii="Times New Roman" w:hAnsi="Times New Roman"/>
          <w:color w:val="000000"/>
          <w:sz w:val="28"/>
          <w:szCs w:val="28"/>
        </w:rPr>
        <w:t>20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року за рахунок збільшення власних надходжень бюджетних установ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AC43D0" w:rsidRDefault="00413DC1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CF57D3">
        <w:rPr>
          <w:rFonts w:ascii="Times New Roman" w:hAnsi="Times New Roman"/>
          <w:color w:val="000000"/>
          <w:sz w:val="28"/>
          <w:szCs w:val="28"/>
        </w:rPr>
        <w:t>1 квартал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дохідну частину бюджету громади за питомою вагою склали:</w:t>
      </w:r>
    </w:p>
    <w:p w:rsidR="00413DC1" w:rsidRPr="00AC43D0" w:rsidRDefault="00636462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71,8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AC43D0">
        <w:rPr>
          <w:rFonts w:ascii="Times New Roman" w:hAnsi="Times New Roman"/>
          <w:sz w:val="28"/>
          <w:szCs w:val="28"/>
        </w:rPr>
        <w:t xml:space="preserve">% </w:t>
      </w:r>
      <w:r w:rsidR="00412DDA">
        <w:rPr>
          <w:rFonts w:ascii="Times New Roman" w:hAnsi="Times New Roman"/>
          <w:color w:val="000000"/>
          <w:sz w:val="28"/>
          <w:szCs w:val="28"/>
        </w:rPr>
        <w:t>–</w:t>
      </w:r>
      <w:r w:rsidR="00413DC1" w:rsidRPr="00AC43D0">
        <w:rPr>
          <w:rFonts w:ascii="Times New Roman" w:hAnsi="Times New Roman"/>
          <w:sz w:val="28"/>
          <w:szCs w:val="28"/>
        </w:rPr>
        <w:t xml:space="preserve"> податки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, збори та інші платежі в обсязі </w:t>
      </w:r>
      <w:r>
        <w:rPr>
          <w:rFonts w:ascii="Times New Roman" w:hAnsi="Times New Roman"/>
          <w:color w:val="000000"/>
          <w:sz w:val="28"/>
          <w:szCs w:val="28"/>
        </w:rPr>
        <w:t>32 474,1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2DDA">
        <w:rPr>
          <w:rFonts w:ascii="Times New Roman" w:hAnsi="Times New Roman"/>
          <w:color w:val="000000"/>
          <w:sz w:val="28"/>
          <w:szCs w:val="28"/>
        </w:rPr>
        <w:t>.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AC43D0" w:rsidRDefault="00636462" w:rsidP="00412D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28,2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% </w:t>
      </w:r>
      <w:r w:rsidR="00412DDA">
        <w:rPr>
          <w:rFonts w:ascii="Times New Roman" w:hAnsi="Times New Roman"/>
          <w:color w:val="000000"/>
          <w:sz w:val="28"/>
          <w:szCs w:val="28"/>
        </w:rPr>
        <w:t>–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офіційні трансферти </w:t>
      </w:r>
      <w:r w:rsidR="00412DD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12 782,1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74071B" w:rsidP="002A679D">
      <w:pPr>
        <w:shd w:val="clear" w:color="auto" w:fill="498CF1" w:themeFill="background2" w:themeFillShade="BF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A679D">
        <w:rPr>
          <w:rFonts w:ascii="TimesNewRomanPS-BoldMT" w:hAnsi="TimesNewRomanPS-BoldMT"/>
          <w:b/>
          <w:noProof/>
          <w:color w:val="000000"/>
          <w:sz w:val="32"/>
          <w:szCs w:val="32"/>
          <w:shd w:val="clear" w:color="auto" w:fill="A8CBEE" w:themeFill="accent2" w:themeFillTint="66"/>
          <w:lang w:val="ru-RU" w:eastAsia="ru-RU"/>
        </w:rPr>
        <w:lastRenderedPageBreak/>
        <w:drawing>
          <wp:inline distT="0" distB="0" distL="0" distR="0" wp14:anchorId="09AF14E9" wp14:editId="1CC1E3EC">
            <wp:extent cx="6010275" cy="6362700"/>
            <wp:effectExtent l="0" t="0" r="9525" b="1905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90BEF" w:rsidRDefault="00B90BEF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За підсумками 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5E4D92">
        <w:rPr>
          <w:rFonts w:ascii="Times New Roman" w:hAnsi="Times New Roman"/>
          <w:color w:val="000000"/>
          <w:sz w:val="28"/>
          <w:szCs w:val="28"/>
        </w:rPr>
        <w:t>1 квартал 2021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року до бюджету зараховано </w:t>
      </w:r>
      <w:r w:rsidR="005E4D92">
        <w:rPr>
          <w:rFonts w:ascii="Times New Roman" w:hAnsi="Times New Roman"/>
          <w:color w:val="000000"/>
          <w:sz w:val="28"/>
          <w:szCs w:val="28"/>
        </w:rPr>
        <w:t>32474,1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 податків, зборів та інших обов’язкових платежів</w:t>
      </w:r>
      <w:r w:rsidR="00077AF7">
        <w:rPr>
          <w:rFonts w:ascii="Times New Roman" w:hAnsi="Times New Roman"/>
          <w:color w:val="000000"/>
          <w:sz w:val="28"/>
          <w:szCs w:val="28"/>
        </w:rPr>
        <w:t>,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CF0753">
        <w:rPr>
          <w:rFonts w:ascii="Times New Roman" w:hAnsi="Times New Roman"/>
          <w:color w:val="000000"/>
          <w:sz w:val="28"/>
          <w:szCs w:val="28"/>
        </w:rPr>
        <w:t>114,9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уточненого планового показника </w:t>
      </w:r>
      <w:r w:rsidR="00CF0753">
        <w:rPr>
          <w:rFonts w:ascii="Times New Roman" w:hAnsi="Times New Roman"/>
          <w:color w:val="000000"/>
          <w:sz w:val="28"/>
          <w:szCs w:val="28"/>
        </w:rPr>
        <w:t>28251,4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CF0753">
        <w:rPr>
          <w:rFonts w:ascii="Times New Roman" w:hAnsi="Times New Roman"/>
          <w:color w:val="000000"/>
          <w:sz w:val="28"/>
          <w:szCs w:val="28"/>
        </w:rPr>
        <w:t>26195,7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2DDA">
        <w:rPr>
          <w:rFonts w:ascii="Times New Roman" w:hAnsi="Times New Roman"/>
          <w:color w:val="000000"/>
          <w:sz w:val="28"/>
          <w:szCs w:val="28"/>
        </w:rPr>
        <w:t>.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0753">
        <w:rPr>
          <w:rFonts w:ascii="Times New Roman" w:hAnsi="Times New Roman"/>
          <w:color w:val="000000"/>
          <w:sz w:val="28"/>
          <w:szCs w:val="28"/>
        </w:rPr>
        <w:t>99,6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852F4">
        <w:rPr>
          <w:rFonts w:ascii="Times New Roman" w:hAnsi="Times New Roman"/>
          <w:color w:val="000000"/>
          <w:sz w:val="28"/>
          <w:szCs w:val="28"/>
        </w:rPr>
        <w:t>менше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F0753">
        <w:rPr>
          <w:rFonts w:ascii="Times New Roman" w:hAnsi="Times New Roman"/>
          <w:color w:val="000000"/>
          <w:sz w:val="28"/>
          <w:szCs w:val="28"/>
        </w:rPr>
        <w:t>95,7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CF0753">
        <w:rPr>
          <w:rFonts w:ascii="Times New Roman" w:hAnsi="Times New Roman"/>
          <w:color w:val="000000"/>
          <w:sz w:val="28"/>
          <w:szCs w:val="28"/>
        </w:rPr>
        <w:t>26291,4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987029">
        <w:rPr>
          <w:rFonts w:ascii="Times New Roman" w:hAnsi="Times New Roman"/>
          <w:color w:val="000000"/>
          <w:sz w:val="28"/>
          <w:szCs w:val="28"/>
        </w:rPr>
        <w:t>6278,4</w:t>
      </w:r>
      <w:r w:rsidR="007D3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., що більше на </w:t>
      </w:r>
      <w:r w:rsidR="00840C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029">
        <w:rPr>
          <w:rFonts w:ascii="Times New Roman" w:hAnsi="Times New Roman"/>
          <w:color w:val="000000"/>
          <w:sz w:val="28"/>
          <w:szCs w:val="28"/>
        </w:rPr>
        <w:t>4318,4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987029">
        <w:rPr>
          <w:rFonts w:ascii="Times New Roman" w:hAnsi="Times New Roman"/>
          <w:color w:val="000000"/>
          <w:sz w:val="28"/>
          <w:szCs w:val="28"/>
        </w:rPr>
        <w:t>1960,0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B90BEF" w:rsidRDefault="00B90BEF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Надходження офіційних трансфертів в звітному періоді становили   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560E2">
        <w:rPr>
          <w:rFonts w:ascii="Times New Roman" w:hAnsi="Times New Roman"/>
          <w:color w:val="000000"/>
          <w:sz w:val="28"/>
          <w:szCs w:val="28"/>
        </w:rPr>
        <w:t>12782,1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2DDA">
        <w:rPr>
          <w:rFonts w:ascii="Times New Roman" w:hAnsi="Times New Roman"/>
          <w:color w:val="000000"/>
          <w:sz w:val="28"/>
          <w:szCs w:val="28"/>
        </w:rPr>
        <w:t>.</w:t>
      </w:r>
      <w:r w:rsidR="00077AF7">
        <w:rPr>
          <w:rFonts w:ascii="Times New Roman" w:hAnsi="Times New Roman"/>
          <w:color w:val="000000"/>
          <w:sz w:val="28"/>
          <w:szCs w:val="28"/>
        </w:rPr>
        <w:t>,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2560E2">
        <w:rPr>
          <w:rFonts w:ascii="Times New Roman" w:hAnsi="Times New Roman"/>
          <w:color w:val="000000"/>
          <w:sz w:val="28"/>
          <w:szCs w:val="28"/>
        </w:rPr>
        <w:t>98,9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</w:t>
      </w:r>
      <w:r w:rsidR="002560E2">
        <w:rPr>
          <w:rFonts w:ascii="Times New Roman" w:hAnsi="Times New Roman"/>
          <w:color w:val="000000"/>
          <w:sz w:val="28"/>
          <w:szCs w:val="28"/>
        </w:rPr>
        <w:t>.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60E2" w:rsidRPr="003852F4" w:rsidRDefault="002560E2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12DDA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дохідної частини бюджету </w:t>
      </w:r>
    </w:p>
    <w:p w:rsidR="00413DC1" w:rsidRPr="00412DDA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2560E2" w:rsidRPr="00412DDA">
        <w:rPr>
          <w:rFonts w:ascii="Times New Roman" w:hAnsi="Times New Roman"/>
          <w:b/>
          <w:bCs/>
          <w:color w:val="000000"/>
          <w:sz w:val="28"/>
          <w:szCs w:val="28"/>
        </w:rPr>
        <w:t>1 квартал</w:t>
      </w: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 202</w:t>
      </w:r>
      <w:r w:rsidR="002560E2" w:rsidRPr="00412DDA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  <w:r w:rsidR="0074071B" w:rsidRPr="00412DD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A679D">
        <w:rPr>
          <w:noProof/>
          <w:shd w:val="clear" w:color="auto" w:fill="498CF1" w:themeFill="background2" w:themeFillShade="BF"/>
          <w:lang w:val="ru-RU" w:eastAsia="ru-RU"/>
        </w:rPr>
        <w:drawing>
          <wp:inline distT="0" distB="0" distL="0" distR="0" wp14:anchorId="63BDF79A" wp14:editId="09D0A950">
            <wp:extent cx="6448425" cy="5600700"/>
            <wp:effectExtent l="57150" t="3810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AC43D0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До загального фонду бюджету громади надійшло власних доходів у сумі                  </w:t>
      </w:r>
      <w:r w:rsidR="000868CE">
        <w:rPr>
          <w:rFonts w:ascii="Times New Roman" w:hAnsi="Times New Roman"/>
          <w:color w:val="000000"/>
          <w:sz w:val="28"/>
          <w:szCs w:val="28"/>
        </w:rPr>
        <w:t>26195,7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077AF7">
        <w:rPr>
          <w:rFonts w:ascii="Times New Roman" w:hAnsi="Times New Roman"/>
          <w:color w:val="000000"/>
          <w:sz w:val="28"/>
          <w:szCs w:val="28"/>
        </w:rPr>
        <w:t>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0868CE">
        <w:rPr>
          <w:rFonts w:ascii="Times New Roman" w:hAnsi="Times New Roman"/>
          <w:color w:val="000000"/>
          <w:sz w:val="28"/>
          <w:szCs w:val="28"/>
        </w:rPr>
        <w:t>99,6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до затвердженого плану з урахуванням змін на </w:t>
      </w:r>
      <w:r w:rsidR="001B7E4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0868CE">
        <w:rPr>
          <w:rFonts w:ascii="Times New Roman" w:hAnsi="Times New Roman"/>
          <w:color w:val="000000"/>
          <w:sz w:val="28"/>
          <w:szCs w:val="28"/>
        </w:rPr>
        <w:t>1 квартал</w:t>
      </w:r>
      <w:r w:rsidR="00EB2FB3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202</w:t>
      </w:r>
      <w:r w:rsidR="000868CE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року. Темп росту доходів порівняно з відповідним періодом минулого року склав </w:t>
      </w:r>
      <w:r w:rsidR="000868CE">
        <w:rPr>
          <w:rFonts w:ascii="Times New Roman" w:hAnsi="Times New Roman"/>
          <w:color w:val="000000"/>
          <w:sz w:val="28"/>
          <w:szCs w:val="28"/>
        </w:rPr>
        <w:t>121,9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  (+</w:t>
      </w:r>
      <w:r w:rsidR="000868CE">
        <w:rPr>
          <w:rFonts w:ascii="Times New Roman" w:hAnsi="Times New Roman"/>
          <w:color w:val="000000"/>
          <w:sz w:val="28"/>
          <w:szCs w:val="28"/>
        </w:rPr>
        <w:t xml:space="preserve">4697,4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AC43D0" w:rsidRDefault="00413DC1" w:rsidP="00CD68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 w:rsidR="000868CE">
        <w:rPr>
          <w:rFonts w:ascii="Times New Roman" w:hAnsi="Times New Roman"/>
          <w:color w:val="000000"/>
          <w:sz w:val="28"/>
          <w:szCs w:val="28"/>
        </w:rPr>
        <w:t>47,3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плата за землю (</w:t>
      </w:r>
      <w:r w:rsidR="000868CE">
        <w:rPr>
          <w:rFonts w:ascii="Times New Roman" w:hAnsi="Times New Roman"/>
          <w:color w:val="000000"/>
          <w:sz w:val="28"/>
          <w:szCs w:val="28"/>
          <w:lang w:val="ru-RU"/>
        </w:rPr>
        <w:t>23,9</w:t>
      </w:r>
      <w:r w:rsidR="00412DD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єдиний податок (</w:t>
      </w:r>
      <w:r w:rsidR="000868CE">
        <w:rPr>
          <w:rFonts w:ascii="Times New Roman" w:hAnsi="Times New Roman"/>
          <w:color w:val="000000"/>
          <w:sz w:val="28"/>
          <w:szCs w:val="28"/>
        </w:rPr>
        <w:t>19,9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%).</w:t>
      </w: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C43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413DC1" w:rsidRPr="00AC43D0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По податку на доходи фізичних осіб при уточненому плані на </w:t>
      </w:r>
      <w:r w:rsidR="000E4B97">
        <w:rPr>
          <w:rFonts w:ascii="Times New Roman" w:hAnsi="Times New Roman"/>
          <w:color w:val="000000"/>
          <w:sz w:val="28"/>
          <w:szCs w:val="28"/>
        </w:rPr>
        <w:t xml:space="preserve">1 квартал           </w:t>
      </w:r>
      <w:r w:rsidRPr="00AC43D0">
        <w:rPr>
          <w:rFonts w:ascii="Times New Roman" w:hAnsi="Times New Roman"/>
          <w:color w:val="000000"/>
          <w:sz w:val="28"/>
          <w:szCs w:val="28"/>
        </w:rPr>
        <w:t>202</w:t>
      </w:r>
      <w:r w:rsidR="000E4B97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="00BA159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E4B97">
        <w:rPr>
          <w:rFonts w:ascii="Times New Roman" w:hAnsi="Times New Roman"/>
          <w:color w:val="000000"/>
          <w:sz w:val="28"/>
          <w:szCs w:val="28"/>
        </w:rPr>
        <w:t>14418,8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758A" w:rsidRPr="00AC43D0">
        <w:rPr>
          <w:rFonts w:ascii="Times New Roman" w:hAnsi="Times New Roman"/>
          <w:color w:val="000000"/>
          <w:sz w:val="28"/>
          <w:szCs w:val="28"/>
        </w:rPr>
        <w:t>ти</w:t>
      </w:r>
      <w:r w:rsidRPr="00AC43D0">
        <w:rPr>
          <w:rFonts w:ascii="Times New Roman" w:hAnsi="Times New Roman"/>
          <w:color w:val="000000"/>
          <w:sz w:val="28"/>
          <w:szCs w:val="28"/>
        </w:rPr>
        <w:t>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BA1597">
        <w:rPr>
          <w:rFonts w:ascii="Times New Roman" w:hAnsi="Times New Roman"/>
          <w:color w:val="000000"/>
          <w:sz w:val="28"/>
          <w:szCs w:val="28"/>
        </w:rPr>
        <w:t>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фактично надійшло </w:t>
      </w:r>
      <w:r w:rsidR="000E4B97">
        <w:rPr>
          <w:rFonts w:ascii="Times New Roman" w:hAnsi="Times New Roman"/>
          <w:color w:val="000000"/>
          <w:sz w:val="28"/>
          <w:szCs w:val="28"/>
        </w:rPr>
        <w:t>12396,6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0E4B97">
        <w:rPr>
          <w:rFonts w:ascii="Times New Roman" w:hAnsi="Times New Roman"/>
          <w:color w:val="000000"/>
          <w:sz w:val="28"/>
          <w:szCs w:val="28"/>
        </w:rPr>
        <w:t>86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%. Темп росту у порівнянні з аналогічним п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t>еріодом минулого року становить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B97">
        <w:rPr>
          <w:rFonts w:ascii="Times New Roman" w:hAnsi="Times New Roman"/>
          <w:color w:val="000000"/>
          <w:sz w:val="28"/>
          <w:szCs w:val="28"/>
        </w:rPr>
        <w:t>114,3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(</w:t>
      </w:r>
      <w:r w:rsidR="00BA1597">
        <w:rPr>
          <w:rFonts w:ascii="Times New Roman" w:hAnsi="Times New Roman"/>
          <w:color w:val="000000"/>
          <w:sz w:val="28"/>
          <w:szCs w:val="28"/>
        </w:rPr>
        <w:t>+</w:t>
      </w:r>
      <w:r w:rsidR="000E4B97">
        <w:rPr>
          <w:rFonts w:ascii="Times New Roman" w:hAnsi="Times New Roman"/>
          <w:color w:val="000000"/>
          <w:sz w:val="28"/>
          <w:szCs w:val="28"/>
        </w:rPr>
        <w:t>1550,4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lastRenderedPageBreak/>
        <w:t xml:space="preserve">зростання мінімальної заробітної плати до </w:t>
      </w:r>
      <w:r w:rsidR="000E4B97">
        <w:rPr>
          <w:rFonts w:ascii="Times New Roman" w:hAnsi="Times New Roman"/>
          <w:color w:val="000000"/>
          <w:sz w:val="28"/>
          <w:szCs w:val="28"/>
        </w:rPr>
        <w:t>6000,00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грн.</w:t>
      </w:r>
    </w:p>
    <w:p w:rsidR="000E4B97" w:rsidRPr="00AC43D0" w:rsidRDefault="000E4B97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2A679D">
        <w:rPr>
          <w:b/>
          <w:i/>
          <w:noProof/>
          <w:sz w:val="28"/>
          <w:szCs w:val="28"/>
          <w:shd w:val="clear" w:color="auto" w:fill="90A1CF" w:themeFill="accent4" w:themeFillTint="99"/>
          <w:lang w:val="ru-RU" w:eastAsia="ru-RU"/>
        </w:rPr>
        <w:drawing>
          <wp:inline distT="0" distB="0" distL="0" distR="0" wp14:anchorId="77F1DBDD" wp14:editId="148C9A75">
            <wp:extent cx="6010275" cy="2771775"/>
            <wp:effectExtent l="76200" t="0" r="66675" b="28575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>Податку на майно, відмінне від земельної ділянки</w:t>
      </w:r>
      <w:r w:rsidR="00412DD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56961" w:rsidRPr="00412D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346214" w:rsidRPr="00412DDA">
        <w:rPr>
          <w:rFonts w:ascii="Times New Roman" w:hAnsi="Times New Roman"/>
          <w:color w:val="000000"/>
          <w:sz w:val="28"/>
          <w:szCs w:val="28"/>
        </w:rPr>
        <w:t>1 квартал 2021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AD47F1">
        <w:rPr>
          <w:rFonts w:ascii="Times New Roman" w:hAnsi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961" w:rsidRPr="00841CAA">
        <w:rPr>
          <w:rFonts w:ascii="Times New Roman" w:hAnsi="Times New Roman"/>
          <w:color w:val="000000"/>
          <w:sz w:val="28"/>
          <w:szCs w:val="28"/>
        </w:rPr>
        <w:t xml:space="preserve">до бюджету </w:t>
      </w:r>
      <w:r w:rsidR="00156961">
        <w:rPr>
          <w:rFonts w:ascii="Times New Roman" w:hAnsi="Times New Roman"/>
          <w:color w:val="000000"/>
          <w:sz w:val="28"/>
          <w:szCs w:val="28"/>
        </w:rPr>
        <w:t xml:space="preserve">ТГ </w:t>
      </w:r>
      <w:r w:rsidR="007A424E">
        <w:rPr>
          <w:rFonts w:ascii="Times New Roman" w:hAnsi="Times New Roman"/>
          <w:color w:val="000000"/>
          <w:sz w:val="28"/>
          <w:szCs w:val="28"/>
        </w:rPr>
        <w:t>у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сумі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34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6214">
        <w:rPr>
          <w:rFonts w:ascii="Times New Roman" w:hAnsi="Times New Roman"/>
          <w:color w:val="000000"/>
          <w:sz w:val="28"/>
          <w:szCs w:val="28"/>
        </w:rPr>
        <w:t xml:space="preserve">409,5 </w:t>
      </w:r>
      <w:proofErr w:type="spellStart"/>
      <w:r w:rsidRPr="00841CA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346214">
        <w:rPr>
          <w:rFonts w:ascii="Times New Roman" w:hAnsi="Times New Roman"/>
          <w:color w:val="000000"/>
          <w:sz w:val="28"/>
          <w:szCs w:val="28"/>
        </w:rPr>
        <w:t>78,8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більше</w:t>
      </w:r>
      <w:r w:rsidR="00412DDA">
        <w:rPr>
          <w:rFonts w:ascii="Times New Roman" w:hAnsi="Times New Roman"/>
          <w:color w:val="000000"/>
          <w:sz w:val="28"/>
          <w:szCs w:val="28"/>
        </w:rPr>
        <w:t>, ніж</w:t>
      </w:r>
      <w:r>
        <w:rPr>
          <w:rFonts w:ascii="Times New Roman" w:hAnsi="Times New Roman"/>
          <w:color w:val="000000"/>
          <w:sz w:val="28"/>
          <w:szCs w:val="28"/>
        </w:rPr>
        <w:t xml:space="preserve"> за аналогічний період </w:t>
      </w:r>
      <w:r w:rsidR="007A424E">
        <w:rPr>
          <w:rFonts w:ascii="Times New Roman" w:hAnsi="Times New Roman"/>
          <w:color w:val="000000"/>
          <w:sz w:val="28"/>
          <w:szCs w:val="28"/>
        </w:rPr>
        <w:t xml:space="preserve">минулого </w:t>
      </w:r>
      <w:r>
        <w:rPr>
          <w:rFonts w:ascii="Times New Roman" w:hAnsi="Times New Roman"/>
          <w:color w:val="000000"/>
          <w:sz w:val="28"/>
          <w:szCs w:val="28"/>
        </w:rPr>
        <w:t>року.</w:t>
      </w:r>
    </w:p>
    <w:p w:rsidR="00412DDA" w:rsidRDefault="00412DDA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413DC1" w:rsidRPr="00FE670E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 w:rsidR="00346214">
        <w:rPr>
          <w:rFonts w:ascii="Times New Roman" w:hAnsi="Times New Roman"/>
          <w:sz w:val="28"/>
          <w:szCs w:val="28"/>
        </w:rPr>
        <w:t>1 квартал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462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346214">
        <w:rPr>
          <w:rFonts w:ascii="Times New Roman" w:hAnsi="Times New Roman"/>
          <w:sz w:val="28"/>
          <w:szCs w:val="28"/>
        </w:rPr>
        <w:t>4275,1</w:t>
      </w:r>
      <w:r w:rsidR="003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3D">
        <w:rPr>
          <w:rFonts w:ascii="Times New Roman" w:hAnsi="Times New Roman"/>
          <w:sz w:val="28"/>
          <w:szCs w:val="28"/>
        </w:rPr>
        <w:t>т</w:t>
      </w:r>
      <w:r w:rsidRPr="00FE670E">
        <w:rPr>
          <w:rFonts w:ascii="Times New Roman" w:hAnsi="Times New Roman"/>
          <w:sz w:val="28"/>
          <w:szCs w:val="28"/>
        </w:rPr>
        <w:t>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 фактично надійшло </w:t>
      </w:r>
      <w:r w:rsidR="007B543D">
        <w:rPr>
          <w:rFonts w:ascii="Times New Roman" w:hAnsi="Times New Roman"/>
          <w:sz w:val="28"/>
          <w:szCs w:val="28"/>
        </w:rPr>
        <w:t xml:space="preserve"> </w:t>
      </w:r>
      <w:r w:rsidR="00346214">
        <w:rPr>
          <w:rFonts w:ascii="Times New Roman" w:hAnsi="Times New Roman"/>
          <w:sz w:val="28"/>
          <w:szCs w:val="28"/>
        </w:rPr>
        <w:t>6248,5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 w:rsidR="00346214">
        <w:rPr>
          <w:rFonts w:ascii="Times New Roman" w:hAnsi="Times New Roman"/>
          <w:sz w:val="28"/>
          <w:szCs w:val="28"/>
        </w:rPr>
        <w:t>146,2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 xml:space="preserve">%. </w:t>
      </w:r>
      <w:r w:rsidR="003B7443">
        <w:rPr>
          <w:rFonts w:ascii="Times New Roman" w:hAnsi="Times New Roman"/>
          <w:sz w:val="28"/>
          <w:szCs w:val="28"/>
        </w:rPr>
        <w:t>У</w:t>
      </w:r>
      <w:r w:rsidRPr="00FE670E">
        <w:rPr>
          <w:rFonts w:ascii="Times New Roman" w:hAnsi="Times New Roman"/>
          <w:sz w:val="28"/>
          <w:szCs w:val="28"/>
        </w:rPr>
        <w:t xml:space="preserve">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 w:rsidR="003B7443">
        <w:rPr>
          <w:rFonts w:ascii="Times New Roman" w:hAnsi="Times New Roman"/>
          <w:bCs/>
          <w:sz w:val="28"/>
          <w:szCs w:val="28"/>
        </w:rPr>
        <w:t xml:space="preserve">надходження </w:t>
      </w:r>
      <w:r w:rsidR="00206701">
        <w:rPr>
          <w:rFonts w:ascii="Times New Roman" w:hAnsi="Times New Roman"/>
          <w:bCs/>
          <w:sz w:val="28"/>
          <w:szCs w:val="28"/>
        </w:rPr>
        <w:t>збільшились</w:t>
      </w:r>
      <w:r w:rsidR="003B7443">
        <w:rPr>
          <w:rFonts w:ascii="Times New Roman" w:hAnsi="Times New Roman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46214">
        <w:rPr>
          <w:rFonts w:ascii="Times New Roman" w:hAnsi="Times New Roman"/>
          <w:color w:val="000000"/>
          <w:sz w:val="28"/>
          <w:szCs w:val="28"/>
        </w:rPr>
        <w:t>2070,8</w:t>
      </w:r>
      <w:r w:rsidR="00443EE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077AF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або </w:t>
      </w:r>
      <w:r w:rsidR="003B7443">
        <w:rPr>
          <w:rFonts w:ascii="Times New Roman" w:hAnsi="Times New Roman"/>
          <w:bCs/>
          <w:sz w:val="28"/>
          <w:szCs w:val="28"/>
        </w:rPr>
        <w:t xml:space="preserve">на </w:t>
      </w:r>
      <w:r w:rsidR="00346214">
        <w:rPr>
          <w:rFonts w:ascii="Times New Roman" w:hAnsi="Times New Roman"/>
          <w:bCs/>
          <w:sz w:val="28"/>
          <w:szCs w:val="28"/>
        </w:rPr>
        <w:t>49,6</w:t>
      </w:r>
      <w:r w:rsidR="00412D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%.</w:t>
      </w:r>
    </w:p>
    <w:p w:rsidR="003B7443" w:rsidRDefault="003B7443" w:rsidP="00B66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2DDA" w:rsidRDefault="00413DC1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2DDA">
        <w:rPr>
          <w:rFonts w:ascii="Times New Roman" w:hAnsi="Times New Roman"/>
          <w:b/>
          <w:color w:val="000000"/>
          <w:sz w:val="28"/>
          <w:szCs w:val="28"/>
        </w:rPr>
        <w:t>Структура динаміки надходжень плати за землю у розрізі платежів</w:t>
      </w:r>
    </w:p>
    <w:p w:rsidR="00413DC1" w:rsidRPr="00412DDA" w:rsidRDefault="00992554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2DD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13DC1" w:rsidRPr="00412DDA">
        <w:rPr>
          <w:rFonts w:ascii="Times New Roman" w:hAnsi="Times New Roman"/>
          <w:b/>
          <w:color w:val="000000"/>
          <w:sz w:val="28"/>
          <w:szCs w:val="28"/>
        </w:rPr>
        <w:t xml:space="preserve">за </w:t>
      </w:r>
      <w:r w:rsidR="005C790E" w:rsidRPr="00412DDA">
        <w:rPr>
          <w:rFonts w:ascii="Times New Roman" w:hAnsi="Times New Roman"/>
          <w:b/>
          <w:color w:val="000000"/>
          <w:sz w:val="28"/>
          <w:szCs w:val="28"/>
        </w:rPr>
        <w:t>1 квартал</w:t>
      </w:r>
      <w:r w:rsidR="00413DC1" w:rsidRPr="00412DDA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5C790E" w:rsidRPr="00412DD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13DC1" w:rsidRPr="00412DDA">
        <w:rPr>
          <w:rFonts w:ascii="Times New Roman" w:hAnsi="Times New Roman"/>
          <w:b/>
          <w:color w:val="000000"/>
          <w:sz w:val="28"/>
          <w:szCs w:val="28"/>
        </w:rPr>
        <w:t xml:space="preserve"> року</w:t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D755AA" w:rsidRDefault="00B16057" w:rsidP="00411FC5">
      <w:pPr>
        <w:shd w:val="clear" w:color="auto" w:fill="A8CBEE" w:themeFill="accent2" w:themeFillTint="66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0E583DF7" wp14:editId="6A4DF482">
            <wp:extent cx="6162675" cy="2286000"/>
            <wp:effectExtent l="76200" t="38100" r="66675" b="3810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3DC1" w:rsidRDefault="00C22733" w:rsidP="002A679D">
      <w:pPr>
        <w:shd w:val="clear" w:color="auto" w:fill="9BC7CE" w:themeFill="accent5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 w:rsidRPr="002A679D">
        <w:rPr>
          <w:rFonts w:eastAsia="MS Mincho"/>
          <w:b/>
          <w:i/>
          <w:noProof/>
          <w:sz w:val="28"/>
          <w:szCs w:val="28"/>
          <w:shd w:val="clear" w:color="auto" w:fill="B2BBCB" w:themeFill="accent3" w:themeFillTint="99"/>
          <w:lang w:val="ru-RU" w:eastAsia="ru-RU"/>
        </w:rPr>
        <w:lastRenderedPageBreak/>
        <w:drawing>
          <wp:inline distT="0" distB="0" distL="0" distR="0" wp14:anchorId="7685F618" wp14:editId="0C3EF6A0">
            <wp:extent cx="6448425" cy="2409825"/>
            <wp:effectExtent l="38100" t="57150" r="66675" b="4762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B16057" w:rsidRDefault="00B16057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Транспортного податку за </w:t>
      </w:r>
      <w:r w:rsidR="00496282" w:rsidRPr="00412DDA">
        <w:rPr>
          <w:rFonts w:ascii="Times New Roman" w:hAnsi="Times New Roman"/>
          <w:color w:val="000000"/>
          <w:sz w:val="28"/>
          <w:szCs w:val="28"/>
        </w:rPr>
        <w:t>1</w:t>
      </w:r>
      <w:r w:rsidR="00496282">
        <w:rPr>
          <w:rFonts w:ascii="Times New Roman" w:hAnsi="Times New Roman"/>
          <w:color w:val="000000"/>
          <w:sz w:val="28"/>
          <w:szCs w:val="28"/>
        </w:rPr>
        <w:t xml:space="preserve"> квартал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4962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надійшло до бюджету 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сумі     </w:t>
      </w:r>
      <w:r w:rsidR="0038349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96282">
        <w:rPr>
          <w:rFonts w:ascii="Times New Roman" w:hAnsi="Times New Roman"/>
          <w:color w:val="000000"/>
          <w:sz w:val="28"/>
          <w:szCs w:val="28"/>
        </w:rPr>
        <w:t>20,8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</w:t>
      </w:r>
      <w:r w:rsidR="00496282">
        <w:rPr>
          <w:rFonts w:ascii="Times New Roman" w:hAnsi="Times New Roman"/>
          <w:color w:val="000000"/>
          <w:sz w:val="28"/>
          <w:szCs w:val="28"/>
        </w:rPr>
        <w:t xml:space="preserve">на 10,0 </w:t>
      </w:r>
      <w:proofErr w:type="spellStart"/>
      <w:r w:rsidR="00496282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96282">
        <w:rPr>
          <w:rFonts w:ascii="Times New Roman" w:hAnsi="Times New Roman"/>
          <w:color w:val="000000"/>
          <w:sz w:val="28"/>
          <w:szCs w:val="28"/>
        </w:rPr>
        <w:t>. більше</w:t>
      </w:r>
      <w:r>
        <w:rPr>
          <w:rFonts w:ascii="Times New Roman" w:hAnsi="Times New Roman"/>
          <w:color w:val="000000"/>
          <w:sz w:val="28"/>
          <w:szCs w:val="28"/>
        </w:rPr>
        <w:t xml:space="preserve"> ніж за відповідний період 20</w:t>
      </w:r>
      <w:r w:rsidR="0049628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року.</w:t>
      </w:r>
    </w:p>
    <w:p w:rsidR="00413DC1" w:rsidRDefault="00413DC1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33C" w:rsidRPr="00841CAA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FD0B25">
        <w:rPr>
          <w:rFonts w:ascii="Times New Roman" w:hAnsi="Times New Roman"/>
          <w:sz w:val="28"/>
          <w:szCs w:val="28"/>
        </w:rPr>
        <w:t>1 квартал 2021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FE670E">
        <w:rPr>
          <w:rFonts w:ascii="Times New Roman" w:hAnsi="Times New Roman"/>
          <w:sz w:val="28"/>
          <w:szCs w:val="28"/>
        </w:rPr>
        <w:t xml:space="preserve"> становить </w:t>
      </w:r>
      <w:r w:rsidR="00FD0B25">
        <w:rPr>
          <w:rFonts w:ascii="Times New Roman" w:hAnsi="Times New Roman"/>
          <w:sz w:val="28"/>
          <w:szCs w:val="28"/>
        </w:rPr>
        <w:t>94,9</w:t>
      </w:r>
      <w:r w:rsidR="00412DDA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 w:rsidR="00FD0B25">
        <w:rPr>
          <w:rFonts w:ascii="Times New Roman" w:hAnsi="Times New Roman"/>
          <w:sz w:val="28"/>
          <w:szCs w:val="28"/>
        </w:rPr>
        <w:t>5220,5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FD0B25">
        <w:rPr>
          <w:rFonts w:ascii="Times New Roman" w:hAnsi="Times New Roman"/>
          <w:sz w:val="28"/>
          <w:szCs w:val="28"/>
        </w:rPr>
        <w:t>120,8</w:t>
      </w:r>
      <w:r w:rsidR="00412DDA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 xml:space="preserve">ходження збільшились на </w:t>
      </w:r>
      <w:r w:rsidR="00FD0B25">
        <w:rPr>
          <w:rFonts w:ascii="Times New Roman" w:hAnsi="Times New Roman"/>
          <w:sz w:val="28"/>
          <w:szCs w:val="28"/>
        </w:rPr>
        <w:t>898,5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F30B97" w:rsidRDefault="00F30B97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2554" w:rsidRPr="00F2507A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Структура динаміки надходжень зі сплати єдиного податку </w:t>
      </w:r>
    </w:p>
    <w:p w:rsidR="00413DC1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у розрізі платежів </w:t>
      </w:r>
    </w:p>
    <w:p w:rsidR="00F31AC6" w:rsidRPr="00F30B97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2E00D5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E00D5">
        <w:rPr>
          <w:rFonts w:ascii="Times New Roman" w:hAnsi="Times New Roman"/>
          <w:noProof/>
          <w:color w:val="0D0D0D" w:themeColor="text1" w:themeTint="F2"/>
          <w:sz w:val="28"/>
          <w:szCs w:val="28"/>
          <w:lang w:val="ru-RU" w:eastAsia="ru-RU"/>
        </w:rPr>
        <w:drawing>
          <wp:inline distT="0" distB="0" distL="0" distR="0" wp14:anchorId="759F5692" wp14:editId="7CC9266E">
            <wp:extent cx="6312535" cy="3657600"/>
            <wp:effectExtent l="38100" t="57150" r="50165" b="3810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412DDA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sz w:val="28"/>
          <w:szCs w:val="28"/>
        </w:rPr>
        <w:lastRenderedPageBreak/>
        <w:t xml:space="preserve">Акцизного </w:t>
      </w:r>
      <w:r w:rsidRPr="00412DDA">
        <w:rPr>
          <w:rFonts w:ascii="Times New Roman" w:hAnsi="Times New Roman"/>
          <w:sz w:val="28"/>
          <w:szCs w:val="28"/>
        </w:rPr>
        <w:t xml:space="preserve">податку з пального (виробленого в Україні) та акцизного податку з пального (ввезеного на митну територію Україні) до бюджету громади за </w:t>
      </w:r>
      <w:r w:rsidR="007D3AA7" w:rsidRPr="00412DDA">
        <w:rPr>
          <w:rFonts w:ascii="Times New Roman" w:hAnsi="Times New Roman"/>
          <w:sz w:val="28"/>
          <w:szCs w:val="28"/>
        </w:rPr>
        <w:t>1 квартал 2021</w:t>
      </w:r>
      <w:r w:rsidRPr="00412DDA">
        <w:rPr>
          <w:rFonts w:ascii="Times New Roman" w:hAnsi="Times New Roman"/>
          <w:sz w:val="28"/>
          <w:szCs w:val="28"/>
        </w:rPr>
        <w:t xml:space="preserve"> року надійшло в сумі </w:t>
      </w:r>
      <w:r w:rsidR="007D3AA7" w:rsidRPr="00412DDA">
        <w:rPr>
          <w:rFonts w:ascii="Times New Roman" w:hAnsi="Times New Roman"/>
          <w:sz w:val="28"/>
          <w:szCs w:val="28"/>
        </w:rPr>
        <w:t>920,6</w:t>
      </w:r>
      <w:r w:rsidRPr="00412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sz w:val="28"/>
          <w:szCs w:val="28"/>
        </w:rPr>
        <w:t>.</w:t>
      </w:r>
      <w:r w:rsidR="00737790" w:rsidRPr="00412DDA">
        <w:rPr>
          <w:rFonts w:ascii="Times New Roman" w:hAnsi="Times New Roman"/>
          <w:sz w:val="28"/>
          <w:szCs w:val="28"/>
        </w:rPr>
        <w:t xml:space="preserve">, що на </w:t>
      </w:r>
      <w:r w:rsidR="007D3AA7" w:rsidRPr="00412DDA">
        <w:rPr>
          <w:rFonts w:ascii="Times New Roman" w:hAnsi="Times New Roman"/>
          <w:sz w:val="28"/>
          <w:szCs w:val="28"/>
        </w:rPr>
        <w:t>141,7</w:t>
      </w:r>
      <w:r w:rsidR="00737790" w:rsidRPr="00412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412DDA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412DDA">
        <w:rPr>
          <w:rFonts w:ascii="Times New Roman" w:hAnsi="Times New Roman"/>
          <w:sz w:val="28"/>
          <w:szCs w:val="28"/>
        </w:rPr>
        <w:t>. (</w:t>
      </w:r>
      <w:r w:rsidR="007D3AA7" w:rsidRPr="00412DDA">
        <w:rPr>
          <w:rFonts w:ascii="Times New Roman" w:hAnsi="Times New Roman"/>
          <w:sz w:val="28"/>
          <w:szCs w:val="28"/>
        </w:rPr>
        <w:t>118,2</w:t>
      </w:r>
      <w:r w:rsidR="00412DDA">
        <w:rPr>
          <w:rFonts w:ascii="Times New Roman" w:hAnsi="Times New Roman"/>
          <w:sz w:val="28"/>
          <w:szCs w:val="28"/>
        </w:rPr>
        <w:t xml:space="preserve"> </w:t>
      </w:r>
      <w:r w:rsidR="00737790" w:rsidRPr="00412DDA">
        <w:rPr>
          <w:rFonts w:ascii="Times New Roman" w:hAnsi="Times New Roman"/>
          <w:sz w:val="28"/>
          <w:szCs w:val="28"/>
        </w:rPr>
        <w:t>%</w:t>
      </w:r>
      <w:r w:rsidR="00DB7C6F" w:rsidRPr="00412DDA">
        <w:rPr>
          <w:rFonts w:ascii="Times New Roman" w:hAnsi="Times New Roman"/>
          <w:sz w:val="28"/>
          <w:szCs w:val="28"/>
        </w:rPr>
        <w:t xml:space="preserve">) </w:t>
      </w:r>
      <w:r w:rsidR="007D3AA7" w:rsidRPr="00412DDA">
        <w:rPr>
          <w:rFonts w:ascii="Times New Roman" w:hAnsi="Times New Roman"/>
          <w:sz w:val="28"/>
          <w:szCs w:val="28"/>
        </w:rPr>
        <w:t>більше</w:t>
      </w:r>
      <w:r w:rsidR="00DB7C6F" w:rsidRPr="00412DDA">
        <w:rPr>
          <w:rFonts w:ascii="Times New Roman" w:hAnsi="Times New Roman"/>
          <w:sz w:val="28"/>
          <w:szCs w:val="28"/>
        </w:rPr>
        <w:t xml:space="preserve"> від планового показника</w:t>
      </w:r>
      <w:r w:rsidR="00737790" w:rsidRPr="00412DDA">
        <w:rPr>
          <w:rFonts w:ascii="Times New Roman" w:hAnsi="Times New Roman"/>
          <w:sz w:val="28"/>
          <w:szCs w:val="28"/>
        </w:rPr>
        <w:t xml:space="preserve"> та на </w:t>
      </w:r>
      <w:r w:rsidR="007D3AA7" w:rsidRPr="00412DDA">
        <w:rPr>
          <w:rFonts w:ascii="Times New Roman" w:hAnsi="Times New Roman"/>
          <w:sz w:val="28"/>
          <w:szCs w:val="28"/>
        </w:rPr>
        <w:t>313,2</w:t>
      </w:r>
      <w:r w:rsidR="00737790" w:rsidRPr="00412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412DDA">
        <w:rPr>
          <w:rFonts w:ascii="Times New Roman" w:hAnsi="Times New Roman"/>
          <w:sz w:val="28"/>
          <w:szCs w:val="28"/>
        </w:rPr>
        <w:t>тис.грн</w:t>
      </w:r>
      <w:proofErr w:type="spellEnd"/>
      <w:r w:rsidR="00555943" w:rsidRPr="00412DDA">
        <w:rPr>
          <w:rFonts w:ascii="Times New Roman" w:hAnsi="Times New Roman"/>
          <w:sz w:val="28"/>
          <w:szCs w:val="28"/>
        </w:rPr>
        <w:t>. більше</w:t>
      </w:r>
      <w:r w:rsidR="00412DDA">
        <w:rPr>
          <w:rFonts w:ascii="Times New Roman" w:hAnsi="Times New Roman"/>
          <w:sz w:val="28"/>
          <w:szCs w:val="28"/>
        </w:rPr>
        <w:t>,</w:t>
      </w:r>
      <w:r w:rsidR="00555943" w:rsidRPr="00412DDA">
        <w:rPr>
          <w:rFonts w:ascii="Times New Roman" w:hAnsi="Times New Roman"/>
          <w:sz w:val="28"/>
          <w:szCs w:val="28"/>
        </w:rPr>
        <w:t xml:space="preserve"> </w:t>
      </w:r>
      <w:r w:rsidR="00737790" w:rsidRPr="00412DDA">
        <w:rPr>
          <w:rFonts w:ascii="Times New Roman" w:hAnsi="Times New Roman"/>
          <w:sz w:val="28"/>
          <w:szCs w:val="28"/>
        </w:rPr>
        <w:t xml:space="preserve"> ніж за аналогічний період</w:t>
      </w:r>
      <w:r w:rsidRPr="00412DDA">
        <w:rPr>
          <w:rFonts w:ascii="Times New Roman" w:hAnsi="Times New Roman"/>
          <w:sz w:val="28"/>
          <w:szCs w:val="28"/>
        </w:rPr>
        <w:t xml:space="preserve"> 20</w:t>
      </w:r>
      <w:r w:rsidR="007D3AA7" w:rsidRPr="00412DDA">
        <w:rPr>
          <w:rFonts w:ascii="Times New Roman" w:hAnsi="Times New Roman"/>
          <w:sz w:val="28"/>
          <w:szCs w:val="28"/>
        </w:rPr>
        <w:t xml:space="preserve">20 </w:t>
      </w:r>
      <w:r w:rsidR="00DB7C6F" w:rsidRPr="00412DDA">
        <w:rPr>
          <w:rFonts w:ascii="Times New Roman" w:hAnsi="Times New Roman"/>
          <w:sz w:val="28"/>
          <w:szCs w:val="28"/>
        </w:rPr>
        <w:t>року</w:t>
      </w:r>
      <w:r w:rsidRPr="00412DDA">
        <w:rPr>
          <w:rFonts w:ascii="Times New Roman" w:hAnsi="Times New Roman"/>
          <w:sz w:val="28"/>
          <w:szCs w:val="28"/>
        </w:rPr>
        <w:t>.</w:t>
      </w:r>
    </w:p>
    <w:p w:rsidR="00413DC1" w:rsidRPr="00412DDA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Акцизного податку з реалізації суб'єктами господарювання роздрібної торгівлі підакцизних товарів отримано </w:t>
      </w:r>
      <w:r w:rsidR="003B4ADC" w:rsidRPr="00412DDA">
        <w:rPr>
          <w:rFonts w:ascii="Times New Roman" w:hAnsi="Times New Roman"/>
          <w:color w:val="000000"/>
          <w:sz w:val="28"/>
          <w:szCs w:val="28"/>
        </w:rPr>
        <w:t>641,9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 (</w:t>
      </w:r>
      <w:r w:rsidR="003B4ADC" w:rsidRPr="00412DDA">
        <w:rPr>
          <w:rFonts w:ascii="Times New Roman" w:hAnsi="Times New Roman"/>
          <w:color w:val="000000"/>
          <w:sz w:val="28"/>
          <w:szCs w:val="28"/>
        </w:rPr>
        <w:t>108,8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% до планового завдання на звітний період  та більше ніж за відповідний період минулого року на </w:t>
      </w:r>
      <w:r w:rsidR="003B4ADC" w:rsidRPr="00412DDA">
        <w:rPr>
          <w:rFonts w:ascii="Times New Roman" w:hAnsi="Times New Roman"/>
          <w:color w:val="000000"/>
          <w:sz w:val="28"/>
          <w:szCs w:val="28"/>
        </w:rPr>
        <w:t>109,4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%, або на </w:t>
      </w:r>
      <w:r w:rsidR="003B4ADC" w:rsidRPr="00412DDA">
        <w:rPr>
          <w:rFonts w:ascii="Times New Roman" w:hAnsi="Times New Roman"/>
          <w:color w:val="000000"/>
          <w:sz w:val="28"/>
          <w:szCs w:val="28"/>
        </w:rPr>
        <w:t>55,2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>Рентної плати, а саме,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за користування надрами,  </w:t>
      </w:r>
      <w:r w:rsidRPr="00AC43D0">
        <w:rPr>
          <w:rFonts w:ascii="Times New Roman" w:hAnsi="Times New Roman"/>
          <w:sz w:val="28"/>
          <w:szCs w:val="28"/>
        </w:rPr>
        <w:t xml:space="preserve">за </w:t>
      </w:r>
      <w:r w:rsidR="00690296">
        <w:rPr>
          <w:rFonts w:ascii="Times New Roman" w:hAnsi="Times New Roman"/>
          <w:sz w:val="28"/>
          <w:szCs w:val="28"/>
        </w:rPr>
        <w:t>1 квартал</w:t>
      </w:r>
      <w:r w:rsidR="0085116D" w:rsidRPr="00AC43D0">
        <w:rPr>
          <w:rFonts w:ascii="Times New Roman" w:hAnsi="Times New Roman"/>
          <w:sz w:val="28"/>
          <w:szCs w:val="28"/>
        </w:rPr>
        <w:t xml:space="preserve"> 202</w:t>
      </w:r>
      <w:r w:rsidR="00690296">
        <w:rPr>
          <w:rFonts w:ascii="Times New Roman" w:hAnsi="Times New Roman"/>
          <w:sz w:val="28"/>
          <w:szCs w:val="28"/>
        </w:rPr>
        <w:t>1</w:t>
      </w:r>
      <w:r w:rsidRPr="00AC43D0">
        <w:rPr>
          <w:rFonts w:ascii="Times New Roman" w:hAnsi="Times New Roman"/>
          <w:sz w:val="28"/>
          <w:szCs w:val="28"/>
        </w:rPr>
        <w:t xml:space="preserve"> року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надійшло в сумі </w:t>
      </w:r>
      <w:r w:rsidR="00690296">
        <w:rPr>
          <w:rFonts w:ascii="Times New Roman" w:hAnsi="Times New Roman"/>
          <w:color w:val="000000"/>
          <w:sz w:val="28"/>
          <w:szCs w:val="28"/>
        </w:rPr>
        <w:t>3,5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690296">
        <w:rPr>
          <w:rFonts w:ascii="Times New Roman" w:hAnsi="Times New Roman"/>
          <w:color w:val="000000"/>
          <w:sz w:val="28"/>
          <w:szCs w:val="28"/>
        </w:rPr>
        <w:t xml:space="preserve">, що на 36,5 </w:t>
      </w:r>
      <w:proofErr w:type="spellStart"/>
      <w:r w:rsidR="0069029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690296">
        <w:rPr>
          <w:rFonts w:ascii="Times New Roman" w:hAnsi="Times New Roman"/>
          <w:color w:val="000000"/>
          <w:sz w:val="28"/>
          <w:szCs w:val="28"/>
        </w:rPr>
        <w:t xml:space="preserve">. менше до відповідного періоду                2020 року.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2DDA" w:rsidRDefault="00412DDA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Pr="006B74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879B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1E5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</w:t>
      </w:r>
      <w:r>
        <w:rPr>
          <w:rFonts w:ascii="TimesNewRomanPSMT" w:hAnsi="TimesNewRomanPSMT"/>
          <w:sz w:val="28"/>
          <w:szCs w:val="28"/>
        </w:rPr>
        <w:t xml:space="preserve">за </w:t>
      </w:r>
      <w:r w:rsidR="00FF7A36">
        <w:rPr>
          <w:rFonts w:ascii="Times New Roman" w:hAnsi="Times New Roman"/>
          <w:sz w:val="28"/>
          <w:szCs w:val="28"/>
        </w:rPr>
        <w:t xml:space="preserve">1 квартал 2021 </w:t>
      </w:r>
      <w:r w:rsidRPr="000D64A2">
        <w:rPr>
          <w:rFonts w:ascii="TimesNewRomanPSMT" w:hAnsi="TimesNewRomanPSMT"/>
          <w:sz w:val="28"/>
          <w:szCs w:val="28"/>
        </w:rPr>
        <w:t xml:space="preserve">року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становлять </w:t>
      </w:r>
      <w:r w:rsidR="00FF7A36" w:rsidRPr="00412DDA">
        <w:rPr>
          <w:rFonts w:ascii="Times New Roman" w:hAnsi="Times New Roman"/>
          <w:color w:val="000000"/>
          <w:sz w:val="28"/>
          <w:szCs w:val="28"/>
        </w:rPr>
        <w:t>361,6</w:t>
      </w:r>
      <w:r w:rsidR="0085116D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 w:rsidR="00FF7A36" w:rsidRPr="00412DDA">
        <w:rPr>
          <w:rFonts w:ascii="Times New Roman" w:hAnsi="Times New Roman"/>
          <w:color w:val="000000"/>
          <w:sz w:val="28"/>
          <w:szCs w:val="28"/>
        </w:rPr>
        <w:t>278,8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2DDA">
        <w:rPr>
          <w:rFonts w:ascii="Times New Roman" w:hAnsi="Times New Roman"/>
          <w:color w:val="000000"/>
          <w:sz w:val="28"/>
          <w:szCs w:val="28"/>
        </w:rPr>
        <w:t>.</w:t>
      </w:r>
      <w:r w:rsidR="00077AF7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 w:rsidRPr="00412DDA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FF7A36" w:rsidRPr="00412DDA">
        <w:rPr>
          <w:rFonts w:ascii="Times New Roman" w:hAnsi="Times New Roman"/>
          <w:color w:val="000000"/>
          <w:sz w:val="28"/>
          <w:szCs w:val="28"/>
        </w:rPr>
        <w:t>77,1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>% до уточненого плану. Основні надходження забезпечили: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інші надходження (адміністративні штрафи, санкції) </w:t>
      </w:r>
      <w:r w:rsidR="00DB1A74" w:rsidRPr="00412DDA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</w:t>
      </w:r>
      <w:r w:rsidR="00BD760A"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              74,9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що на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15,5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 xml:space="preserve">менше </w:t>
      </w:r>
      <w:r w:rsidRPr="00412DDA">
        <w:rPr>
          <w:rFonts w:ascii="Times New Roman" w:hAnsi="Times New Roman"/>
          <w:color w:val="000000"/>
          <w:sz w:val="28"/>
          <w:szCs w:val="28"/>
        </w:rPr>
        <w:t>від плану;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412DDA">
        <w:rPr>
          <w:rFonts w:ascii="Times New Roman" w:hAnsi="Times New Roman"/>
          <w:color w:val="000000"/>
          <w:sz w:val="28"/>
          <w:szCs w:val="28"/>
        </w:rPr>
        <w:t>юридичних осіб, фізичних осіб</w:t>
      </w:r>
      <w:r w:rsidR="00412DDA">
        <w:rPr>
          <w:rFonts w:ascii="Times New Roman" w:hAnsi="Times New Roman"/>
          <w:color w:val="000000"/>
          <w:sz w:val="28"/>
          <w:szCs w:val="28"/>
        </w:rPr>
        <w:t>-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підприємців та громадських формувань –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24,1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215,6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% до планового завдання;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плата за надання інших адміністративних послуг при плані                </w:t>
      </w:r>
      <w:r w:rsidR="00DB1A74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163,1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84,7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51,9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58,6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93,8</w:t>
      </w:r>
      <w:r w:rsid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>% до плану;</w:t>
      </w:r>
    </w:p>
    <w:p w:rsidR="00413DC1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державне мито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24,5</w:t>
      </w:r>
      <w:r w:rsidR="00AC43D0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 В порівнянні з аналогічним періодом 20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20</w:t>
      </w:r>
      <w:r w:rsidR="00AC43D0" w:rsidRPr="00412DDA">
        <w:rPr>
          <w:rFonts w:ascii="Times New Roman" w:hAnsi="Times New Roman"/>
          <w:color w:val="000000"/>
          <w:sz w:val="28"/>
          <w:szCs w:val="28"/>
        </w:rPr>
        <w:t xml:space="preserve"> року надходження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зросли</w:t>
      </w:r>
      <w:r w:rsidR="00AC43D0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>на</w:t>
      </w:r>
      <w:r w:rsidR="00DB1A74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60A" w:rsidRPr="00412DDA">
        <w:rPr>
          <w:rFonts w:ascii="Times New Roman" w:hAnsi="Times New Roman"/>
          <w:color w:val="000000"/>
          <w:sz w:val="28"/>
          <w:szCs w:val="28"/>
        </w:rPr>
        <w:t>2,1</w:t>
      </w:r>
      <w:r w:rsidR="00AC43D0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C43D0"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AC43D0" w:rsidRPr="00412DDA">
        <w:rPr>
          <w:rFonts w:ascii="Times New Roman" w:hAnsi="Times New Roman"/>
          <w:color w:val="000000"/>
          <w:sz w:val="28"/>
          <w:szCs w:val="28"/>
        </w:rPr>
        <w:t>.</w:t>
      </w:r>
      <w:r w:rsidRPr="00412DDA">
        <w:rPr>
          <w:rFonts w:ascii="Times New Roman" w:hAnsi="Times New Roman"/>
          <w:color w:val="000000"/>
          <w:sz w:val="28"/>
          <w:szCs w:val="28"/>
        </w:rPr>
        <w:t>;</w:t>
      </w:r>
    </w:p>
    <w:p w:rsidR="00AC43D0" w:rsidRPr="00412DDA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інші </w:t>
      </w:r>
      <w:r w:rsidR="00AC43D0"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неподаткові 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надходження </w:t>
      </w:r>
      <w:r w:rsidR="000B6E07" w:rsidRPr="00412DDA"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5B56A4" w:rsidRPr="00412DDA">
        <w:rPr>
          <w:rFonts w:ascii="Times New Roman" w:hAnsi="Times New Roman"/>
          <w:color w:val="000000"/>
          <w:sz w:val="28"/>
          <w:szCs w:val="28"/>
        </w:rPr>
        <w:t>11,9</w:t>
      </w:r>
      <w:r w:rsidR="000B6E07"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B6E07"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0B6E07" w:rsidRPr="00412DDA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412DDA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A66BE5" w:rsidRPr="00412DDA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412DDA">
        <w:rPr>
          <w:rFonts w:ascii="TimesNewRomanPSMT" w:hAnsi="TimesNewRomanPSMT"/>
          <w:sz w:val="28"/>
          <w:szCs w:val="28"/>
        </w:rPr>
        <w:t xml:space="preserve"> </w:t>
      </w:r>
      <w:r w:rsidR="003C7C18" w:rsidRPr="00412DDA">
        <w:rPr>
          <w:rFonts w:ascii="Times New Roman" w:hAnsi="Times New Roman"/>
          <w:sz w:val="28"/>
          <w:szCs w:val="28"/>
        </w:rPr>
        <w:t>1 квартал 2021</w:t>
      </w:r>
      <w:r w:rsidRPr="00412DDA">
        <w:rPr>
          <w:rFonts w:ascii="TimesNewRomanPSMT" w:hAnsi="TimesNewRomanPSMT"/>
          <w:sz w:val="28"/>
          <w:szCs w:val="28"/>
        </w:rPr>
        <w:t xml:space="preserve"> року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громади надійшло </w:t>
      </w:r>
      <w:r w:rsidRPr="00412DDA">
        <w:rPr>
          <w:rFonts w:ascii="Times New Roman" w:hAnsi="Times New Roman"/>
          <w:bCs/>
          <w:color w:val="000000"/>
          <w:sz w:val="28"/>
          <w:szCs w:val="28"/>
        </w:rPr>
        <w:t xml:space="preserve">офіційних трансфертів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12782,1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 xml:space="preserve">., у тому числі: </w:t>
      </w:r>
    </w:p>
    <w:p w:rsidR="00A66BE5" w:rsidRPr="00412DDA" w:rsidRDefault="00413DC1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дотацій у сумі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418,4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412DDA">
        <w:rPr>
          <w:rFonts w:ascii="Times New Roman" w:hAnsi="Times New Roman"/>
          <w:color w:val="000000"/>
          <w:sz w:val="28"/>
          <w:szCs w:val="28"/>
        </w:rPr>
        <w:t>;</w:t>
      </w:r>
    </w:p>
    <w:p w:rsidR="00A66BE5" w:rsidRPr="00412DDA" w:rsidRDefault="00A66BE5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субвенцій з державного бюджету у сумі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10275,9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., у тому числі:</w:t>
      </w:r>
    </w:p>
    <w:p w:rsidR="00413DC1" w:rsidRPr="00412DDA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 xml:space="preserve">освітня субвенція з державного бюджету –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10275,9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., або 100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413DC1" w:rsidRPr="00A66BE5" w:rsidRDefault="00413DC1" w:rsidP="00A66BE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2DDA">
        <w:rPr>
          <w:rFonts w:ascii="Times New Roman" w:hAnsi="Times New Roman"/>
          <w:color w:val="000000"/>
          <w:sz w:val="28"/>
          <w:szCs w:val="28"/>
        </w:rPr>
        <w:t>субвенцій з місцев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их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бюджет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ів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у сумі 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 xml:space="preserve">2087,9 </w:t>
      </w:r>
      <w:r w:rsidRPr="00412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2D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12DDA">
        <w:rPr>
          <w:rFonts w:ascii="Times New Roman" w:hAnsi="Times New Roman"/>
          <w:color w:val="000000"/>
          <w:sz w:val="28"/>
          <w:szCs w:val="28"/>
        </w:rPr>
        <w:t>.,</w:t>
      </w:r>
      <w:r w:rsidR="00A66BE5" w:rsidRPr="00412DDA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="00926F4A" w:rsidRPr="00412DDA">
        <w:rPr>
          <w:rFonts w:ascii="Times New Roman" w:hAnsi="Times New Roman"/>
          <w:color w:val="000000"/>
          <w:sz w:val="28"/>
          <w:szCs w:val="28"/>
        </w:rPr>
        <w:t>93,7</w:t>
      </w:r>
      <w:r w:rsidR="00A66BE5" w:rsidRPr="00412DDA">
        <w:rPr>
          <w:rFonts w:ascii="Times New Roman" w:hAnsi="Times New Roman"/>
          <w:color w:val="000000"/>
          <w:sz w:val="28"/>
          <w:szCs w:val="28"/>
        </w:rPr>
        <w:t>%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у тому числі: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926F4A">
        <w:rPr>
          <w:rFonts w:ascii="Times New Roman" w:hAnsi="Times New Roman"/>
          <w:color w:val="000000"/>
          <w:sz w:val="28"/>
          <w:szCs w:val="28"/>
        </w:rPr>
        <w:t>164,9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912BB" w:rsidRPr="003F4615" w:rsidRDefault="002912BB" w:rsidP="002912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926F4A">
        <w:rPr>
          <w:rFonts w:ascii="Times New Roman" w:hAnsi="Times New Roman"/>
          <w:color w:val="000000"/>
          <w:sz w:val="28"/>
          <w:szCs w:val="28"/>
        </w:rPr>
        <w:t>92,1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інші субвенції з місцевого бюджету – </w:t>
      </w:r>
      <w:r w:rsidR="00926F4A">
        <w:rPr>
          <w:rFonts w:ascii="Times New Roman" w:hAnsi="Times New Roman"/>
          <w:color w:val="000000"/>
          <w:sz w:val="28"/>
          <w:szCs w:val="28"/>
        </w:rPr>
        <w:t>1521,9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926F4A">
        <w:rPr>
          <w:rFonts w:ascii="Times New Roman" w:hAnsi="Times New Roman"/>
          <w:color w:val="000000"/>
          <w:sz w:val="28"/>
          <w:szCs w:val="28"/>
        </w:rPr>
        <w:t>91,6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926F4A">
        <w:rPr>
          <w:rFonts w:ascii="Times New Roman" w:hAnsi="Times New Roman"/>
          <w:color w:val="000000"/>
          <w:sz w:val="28"/>
          <w:szCs w:val="28"/>
        </w:rPr>
        <w:t>;</w:t>
      </w:r>
    </w:p>
    <w:p w:rsidR="00926F4A" w:rsidRDefault="00926F4A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субвенція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 – 309,0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413DC1" w:rsidRPr="000C4DFC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326DBA">
        <w:rPr>
          <w:rFonts w:ascii="Times New Roman" w:hAnsi="Times New Roman"/>
          <w:sz w:val="28"/>
          <w:szCs w:val="28"/>
        </w:rPr>
        <w:t>1 квартал 2021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442D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6278,4</w:t>
      </w:r>
      <w:r w:rsidR="00705642"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05642" w:rsidRPr="000C4DFC">
        <w:rPr>
          <w:rFonts w:ascii="Times New Roman" w:hAnsi="Times New Roman"/>
          <w:color w:val="000000"/>
          <w:sz w:val="28"/>
          <w:szCs w:val="28"/>
        </w:rPr>
        <w:t>тис.</w:t>
      </w:r>
      <w:r w:rsidRPr="000C4DFC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 xml:space="preserve">., при плані –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1960,0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C4DF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0C4DFC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4DFC">
        <w:rPr>
          <w:rFonts w:ascii="Times New Roman" w:hAnsi="Times New Roman"/>
          <w:bCs/>
          <w:color w:val="000000"/>
          <w:sz w:val="28"/>
          <w:szCs w:val="28"/>
        </w:rPr>
        <w:t xml:space="preserve">Природоохоронний фонд 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складає </w:t>
      </w:r>
      <w:r w:rsidR="00195272" w:rsidRPr="000C4DFC">
        <w:rPr>
          <w:rFonts w:ascii="Times New Roman" w:hAnsi="Times New Roman"/>
          <w:color w:val="000000"/>
          <w:sz w:val="28"/>
          <w:szCs w:val="28"/>
        </w:rPr>
        <w:t>55,4</w:t>
      </w:r>
      <w:r w:rsidRPr="000C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42DE" w:rsidRPr="000C4DFC">
        <w:rPr>
          <w:rFonts w:ascii="Times New Roman" w:hAnsi="Times New Roman"/>
          <w:sz w:val="28"/>
          <w:szCs w:val="28"/>
        </w:rPr>
        <w:t>тис.грн</w:t>
      </w:r>
      <w:proofErr w:type="spellEnd"/>
      <w:r w:rsidR="007442DE" w:rsidRPr="000C4DFC">
        <w:rPr>
          <w:rFonts w:ascii="Times New Roman" w:hAnsi="Times New Roman"/>
          <w:sz w:val="28"/>
          <w:szCs w:val="28"/>
        </w:rPr>
        <w:t>.</w:t>
      </w:r>
      <w:r w:rsidRPr="000C4DFC">
        <w:rPr>
          <w:rFonts w:ascii="Times New Roman" w:hAnsi="Times New Roman"/>
          <w:color w:val="000000"/>
          <w:sz w:val="28"/>
          <w:szCs w:val="28"/>
        </w:rPr>
        <w:t>, а саме:</w:t>
      </w:r>
    </w:p>
    <w:p w:rsidR="00413DC1" w:rsidRPr="000C4DFC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4DFC">
        <w:rPr>
          <w:rFonts w:ascii="Times New Roman" w:hAnsi="Times New Roman"/>
          <w:color w:val="000000"/>
          <w:sz w:val="28"/>
          <w:szCs w:val="28"/>
        </w:rPr>
        <w:t xml:space="preserve">екологічного податку надійшло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15,7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C4DF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95,3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% виконання плану, до відповідного періоду минулого року надходження </w:t>
      </w:r>
      <w:r w:rsidR="00195272" w:rsidRPr="000C4DFC">
        <w:rPr>
          <w:rFonts w:ascii="Times New Roman" w:hAnsi="Times New Roman"/>
          <w:color w:val="000000"/>
          <w:sz w:val="28"/>
          <w:szCs w:val="28"/>
        </w:rPr>
        <w:t>зменшились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2,0</w:t>
      </w:r>
      <w:r w:rsidR="007442DE"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C4DF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 xml:space="preserve">., або на </w:t>
      </w:r>
      <w:r w:rsidR="00326DBA" w:rsidRPr="000C4DFC">
        <w:rPr>
          <w:rFonts w:ascii="Times New Roman" w:hAnsi="Times New Roman"/>
          <w:color w:val="000000"/>
          <w:sz w:val="28"/>
          <w:szCs w:val="28"/>
        </w:rPr>
        <w:t>11,3</w:t>
      </w:r>
      <w:r w:rsid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4DFC"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0C4DFC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4DFC">
        <w:rPr>
          <w:rFonts w:ascii="Times New Roman" w:hAnsi="Times New Roman"/>
          <w:color w:val="000000"/>
          <w:sz w:val="28"/>
          <w:szCs w:val="28"/>
        </w:rPr>
        <w:t>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</w:t>
      </w:r>
      <w:r w:rsidR="000C4DFC">
        <w:rPr>
          <w:rFonts w:ascii="Times New Roman" w:hAnsi="Times New Roman"/>
          <w:color w:val="000000"/>
          <w:sz w:val="28"/>
          <w:szCs w:val="28"/>
        </w:rPr>
        <w:t>,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надійшло </w:t>
      </w:r>
      <w:r w:rsidR="00195272" w:rsidRPr="000C4DFC">
        <w:rPr>
          <w:rFonts w:ascii="Times New Roman" w:hAnsi="Times New Roman"/>
          <w:color w:val="000000"/>
          <w:sz w:val="28"/>
          <w:szCs w:val="28"/>
        </w:rPr>
        <w:t>1,7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C4DF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4DFC">
        <w:rPr>
          <w:rFonts w:ascii="Times New Roman" w:hAnsi="Times New Roman"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C003DF" w:rsidRPr="000C4DFC">
        <w:rPr>
          <w:rFonts w:ascii="Times New Roman" w:hAnsi="Times New Roman"/>
          <w:color w:val="000000"/>
          <w:sz w:val="28"/>
          <w:szCs w:val="28"/>
        </w:rPr>
        <w:t>6260,9</w:t>
      </w:r>
      <w:r w:rsidRPr="000C4D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C4DF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0C4DFC">
        <w:rPr>
          <w:rFonts w:ascii="Times New Roman" w:hAnsi="Times New Roman"/>
          <w:color w:val="000000"/>
          <w:sz w:val="28"/>
          <w:szCs w:val="28"/>
        </w:rPr>
        <w:t xml:space="preserve">.,  проти відповідного періоду минулого року надходження збільшились на  </w:t>
      </w:r>
      <w:r w:rsidR="00C003DF" w:rsidRPr="000C4DFC">
        <w:rPr>
          <w:rFonts w:ascii="Times New Roman" w:hAnsi="Times New Roman"/>
          <w:color w:val="000000"/>
          <w:sz w:val="28"/>
          <w:szCs w:val="28"/>
        </w:rPr>
        <w:t>3654,4</w:t>
      </w:r>
      <w:r w:rsidR="000120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64AB" w:rsidRDefault="00E44027" w:rsidP="000C4DFC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</w:t>
      </w:r>
      <w:r w:rsidR="00C71589"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DF64AB" w:rsidRPr="00987BE2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0C4DFC" w:rsidRPr="00F63B81" w:rsidRDefault="000C4DFC" w:rsidP="000C4DFC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DF64AB" w:rsidRPr="00F63B81" w:rsidRDefault="00DF64AB" w:rsidP="00DF64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B81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 w:rsidR="005503F2" w:rsidRPr="005503F2">
        <w:rPr>
          <w:rFonts w:ascii="Times New Roman" w:hAnsi="Times New Roman"/>
          <w:sz w:val="28"/>
          <w:szCs w:val="28"/>
          <w:lang w:eastAsia="ru-RU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5503F2" w:rsidRPr="005503F2">
        <w:rPr>
          <w:rFonts w:ascii="Times New Roman" w:hAnsi="Times New Roman"/>
          <w:sz w:val="28"/>
          <w:szCs w:val="28"/>
          <w:lang w:eastAsia="ru-RU"/>
        </w:rPr>
        <w:t>1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 w:rsidR="00973592" w:rsidRPr="005E7383">
        <w:rPr>
          <w:rFonts w:ascii="Times New Roman" w:hAnsi="Times New Roman"/>
          <w:sz w:val="28"/>
          <w:szCs w:val="28"/>
          <w:lang w:eastAsia="ru-RU"/>
        </w:rPr>
        <w:t>22.12.2020 року №</w:t>
      </w:r>
      <w:r w:rsidR="000C4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3592" w:rsidRPr="005E7383">
        <w:rPr>
          <w:rFonts w:ascii="Times New Roman" w:hAnsi="Times New Roman"/>
          <w:sz w:val="28"/>
          <w:szCs w:val="28"/>
          <w:lang w:eastAsia="ru-RU"/>
        </w:rPr>
        <w:t xml:space="preserve">65 "Про  бюджет </w:t>
      </w:r>
      <w:proofErr w:type="spellStart"/>
      <w:r w:rsidR="00973592" w:rsidRPr="005E7383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="00973592" w:rsidRPr="005E7383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2021 рік" (зі змінами)</w:t>
      </w:r>
      <w:r w:rsidRPr="00F63B81">
        <w:rPr>
          <w:rFonts w:ascii="Times New Roman" w:hAnsi="Times New Roman"/>
          <w:sz w:val="28"/>
          <w:szCs w:val="28"/>
          <w:lang w:eastAsia="ru-RU"/>
        </w:rPr>
        <w:t>.</w:t>
      </w:r>
    </w:p>
    <w:p w:rsidR="00DF64AB" w:rsidRPr="0059055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3B81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F63B81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4728F" w:rsidRPr="005503F2">
        <w:rPr>
          <w:rFonts w:ascii="Times New Roman" w:hAnsi="Times New Roman"/>
          <w:sz w:val="28"/>
          <w:szCs w:val="28"/>
          <w:lang w:eastAsia="ru-RU"/>
        </w:rPr>
        <w:t>1 квартал</w:t>
      </w:r>
      <w:r w:rsidR="0094728F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4728F">
        <w:rPr>
          <w:rFonts w:ascii="Times New Roman" w:hAnsi="Times New Roman"/>
          <w:sz w:val="28"/>
          <w:szCs w:val="28"/>
          <w:lang w:eastAsia="ru-RU"/>
        </w:rPr>
        <w:t>2</w:t>
      </w:r>
      <w:r w:rsidR="0094728F" w:rsidRPr="005503F2">
        <w:rPr>
          <w:rFonts w:ascii="Times New Roman" w:hAnsi="Times New Roman"/>
          <w:sz w:val="28"/>
          <w:szCs w:val="28"/>
          <w:lang w:eastAsia="ru-RU"/>
        </w:rPr>
        <w:t>1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у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94728F">
        <w:rPr>
          <w:rFonts w:ascii="Times New Roman" w:hAnsi="Times New Roman"/>
          <w:sz w:val="28"/>
          <w:szCs w:val="28"/>
          <w:lang w:val="ru-RU" w:eastAsia="ar-SA"/>
        </w:rPr>
        <w:t>36814,6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F63B81">
        <w:rPr>
          <w:rFonts w:ascii="Times New Roman" w:hAnsi="Times New Roman"/>
          <w:sz w:val="28"/>
          <w:szCs w:val="28"/>
          <w:lang w:eastAsia="ar-SA"/>
        </w:rPr>
        <w:t>н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F63B81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 w:rsidR="0094728F">
        <w:rPr>
          <w:rFonts w:ascii="Times New Roman" w:hAnsi="Times New Roman"/>
          <w:sz w:val="28"/>
          <w:szCs w:val="28"/>
          <w:lang w:val="ru-RU" w:eastAsia="ar-SA"/>
        </w:rPr>
        <w:t>45842,4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</w:t>
      </w:r>
      <w:r w:rsidR="0094728F">
        <w:rPr>
          <w:rFonts w:ascii="Times New Roman" w:hAnsi="Times New Roman"/>
          <w:sz w:val="28"/>
          <w:szCs w:val="28"/>
          <w:lang w:val="ru-RU" w:eastAsia="ar-SA"/>
        </w:rPr>
        <w:t>0,3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DF64AB" w:rsidRPr="00E03C3A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ru-RU" w:eastAsia="ar-SA"/>
        </w:rPr>
      </w:pP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Значну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частину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становлять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eastAsia="ar-SA"/>
        </w:rPr>
        <w:t>по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галуз</w:t>
      </w:r>
      <w:proofErr w:type="spellEnd"/>
      <w:r w:rsidRPr="00875C19">
        <w:rPr>
          <w:rFonts w:ascii="Times New Roman" w:hAnsi="Times New Roman"/>
          <w:sz w:val="28"/>
          <w:szCs w:val="28"/>
          <w:lang w:eastAsia="ar-SA"/>
        </w:rPr>
        <w:t>і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освіта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6</w:t>
      </w:r>
      <w:r w:rsidR="00173684">
        <w:rPr>
          <w:rFonts w:ascii="Times New Roman" w:hAnsi="Times New Roman"/>
          <w:sz w:val="28"/>
          <w:szCs w:val="28"/>
          <w:lang w:val="ru-RU" w:eastAsia="ar-SA"/>
        </w:rPr>
        <w:t>7,5</w:t>
      </w:r>
      <w:r w:rsidR="000C4D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r w:rsidRPr="00875C19">
        <w:rPr>
          <w:rFonts w:ascii="Times New Roman" w:hAnsi="Times New Roman"/>
          <w:sz w:val="28"/>
          <w:szCs w:val="28"/>
          <w:lang w:eastAsia="ar-SA"/>
        </w:rPr>
        <w:t>у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т.ч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="00BE1369">
        <w:rPr>
          <w:rFonts w:ascii="Times New Roman" w:hAnsi="Times New Roman"/>
          <w:sz w:val="28"/>
          <w:szCs w:val="28"/>
          <w:lang w:val="ru-RU" w:eastAsia="ar-SA"/>
        </w:rPr>
        <w:t>н</w:t>
      </w:r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адання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школами 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>– 2,</w:t>
      </w:r>
      <w:r w:rsidR="00173684">
        <w:rPr>
          <w:rFonts w:ascii="Times New Roman" w:hAnsi="Times New Roman"/>
          <w:sz w:val="28"/>
          <w:szCs w:val="28"/>
          <w:lang w:val="ru-RU" w:eastAsia="ar-SA"/>
        </w:rPr>
        <w:t>6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 </w:t>
      </w:r>
      <w:proofErr w:type="spellStart"/>
      <w:r w:rsidRPr="000C4DFC">
        <w:rPr>
          <w:rFonts w:ascii="Times New Roman" w:hAnsi="Times New Roman"/>
          <w:sz w:val="28"/>
          <w:szCs w:val="28"/>
          <w:lang w:val="ru-RU" w:eastAsia="ar-SA"/>
        </w:rPr>
        <w:t>державне</w:t>
      </w:r>
      <w:proofErr w:type="spellEnd"/>
      <w:r w:rsidRPr="000C4D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0C4DFC">
        <w:rPr>
          <w:rFonts w:ascii="Times New Roman" w:hAnsi="Times New Roman"/>
          <w:sz w:val="28"/>
          <w:szCs w:val="28"/>
          <w:lang w:val="ru-RU" w:eastAsia="ar-SA"/>
        </w:rPr>
        <w:t>управління</w:t>
      </w:r>
      <w:proofErr w:type="spellEnd"/>
      <w:r w:rsidRPr="000C4DFC">
        <w:rPr>
          <w:rFonts w:ascii="Times New Roman" w:hAnsi="Times New Roman"/>
          <w:sz w:val="28"/>
          <w:szCs w:val="28"/>
          <w:lang w:val="ru-RU" w:eastAsia="ar-SA"/>
        </w:rPr>
        <w:t xml:space="preserve"> – 1</w:t>
      </w:r>
      <w:r w:rsidR="001371FF" w:rsidRPr="000C4DFC">
        <w:rPr>
          <w:rFonts w:ascii="Times New Roman" w:hAnsi="Times New Roman"/>
          <w:sz w:val="28"/>
          <w:szCs w:val="28"/>
          <w:lang w:val="ru-RU" w:eastAsia="ar-SA"/>
        </w:rPr>
        <w:t>2,6</w:t>
      </w:r>
      <w:r w:rsidRPr="000C4DFC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>охорона</w:t>
      </w:r>
      <w:proofErr w:type="spellEnd"/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>здоров</w:t>
      </w:r>
      <w:r w:rsidR="000C4DFC" w:rsidRPr="000C4DFC">
        <w:rPr>
          <w:rFonts w:ascii="Times New Roman" w:hAnsi="Times New Roman"/>
          <w:sz w:val="28"/>
          <w:szCs w:val="28"/>
          <w:lang w:val="ru-RU" w:eastAsia="ar-SA"/>
        </w:rPr>
        <w:t>'</w:t>
      </w:r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>я</w:t>
      </w:r>
      <w:proofErr w:type="spellEnd"/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 xml:space="preserve"> – 4,7</w:t>
      </w:r>
      <w:r w:rsidR="000C4DFC" w:rsidRPr="000C4D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094AFA" w:rsidRPr="000C4DFC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proofErr w:type="spellStart"/>
      <w:proofErr w:type="gramStart"/>
      <w:r w:rsidRPr="000C4DFC">
        <w:rPr>
          <w:rFonts w:ascii="Times New Roman" w:hAnsi="Times New Roman"/>
          <w:sz w:val="28"/>
          <w:szCs w:val="28"/>
          <w:lang w:val="ru-RU" w:eastAsia="ar-SA"/>
        </w:rPr>
        <w:t>соц</w:t>
      </w:r>
      <w:proofErr w:type="gramEnd"/>
      <w:r w:rsidRPr="000C4DFC">
        <w:rPr>
          <w:rFonts w:ascii="Times New Roman" w:hAnsi="Times New Roman"/>
          <w:sz w:val="28"/>
          <w:szCs w:val="28"/>
          <w:lang w:val="ru-RU" w:eastAsia="ar-SA"/>
        </w:rPr>
        <w:t>іальний</w:t>
      </w:r>
      <w:proofErr w:type="spellEnd"/>
      <w:r w:rsidRPr="000C4DF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0C4DFC">
        <w:rPr>
          <w:rFonts w:ascii="Times New Roman" w:hAnsi="Times New Roman"/>
          <w:sz w:val="28"/>
          <w:szCs w:val="28"/>
          <w:lang w:val="ru-RU" w:eastAsia="ar-SA"/>
        </w:rPr>
        <w:t>захист</w:t>
      </w:r>
      <w:proofErr w:type="spellEnd"/>
      <w:r w:rsidRPr="000C4DFC">
        <w:rPr>
          <w:rFonts w:ascii="Times New Roman" w:hAnsi="Times New Roman"/>
          <w:sz w:val="28"/>
          <w:szCs w:val="28"/>
          <w:lang w:val="ru-RU" w:eastAsia="ar-SA"/>
        </w:rPr>
        <w:t xml:space="preserve"> та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соціальне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забезпечення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9F1FB6">
        <w:rPr>
          <w:rFonts w:ascii="Times New Roman" w:hAnsi="Times New Roman"/>
          <w:sz w:val="28"/>
          <w:szCs w:val="28"/>
          <w:lang w:val="ru-RU" w:eastAsia="ar-SA"/>
        </w:rPr>
        <w:t>4,4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культура і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мистецтво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2D391B">
        <w:rPr>
          <w:rFonts w:ascii="Times New Roman" w:hAnsi="Times New Roman"/>
          <w:sz w:val="28"/>
          <w:szCs w:val="28"/>
          <w:lang w:val="ru-RU" w:eastAsia="ar-SA"/>
        </w:rPr>
        <w:t>5,7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житлово-комунальне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651F35">
        <w:rPr>
          <w:rFonts w:ascii="Times New Roman" w:hAnsi="Times New Roman"/>
          <w:sz w:val="28"/>
          <w:szCs w:val="28"/>
          <w:lang w:val="ru-RU" w:eastAsia="ar-SA"/>
        </w:rPr>
        <w:t>2,8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%.</w:t>
      </w:r>
      <w:r w:rsidRPr="00E03C3A">
        <w:rPr>
          <w:rFonts w:ascii="Times New Roman" w:hAnsi="Times New Roman"/>
          <w:sz w:val="28"/>
          <w:szCs w:val="28"/>
          <w:highlight w:val="yellow"/>
          <w:lang w:val="ru-RU"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2E27">
        <w:rPr>
          <w:rFonts w:ascii="Times New Roman" w:hAnsi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</w:t>
      </w:r>
      <w:r w:rsidR="00EE7E41">
        <w:rPr>
          <w:rFonts w:ascii="Times New Roman" w:hAnsi="Times New Roman"/>
          <w:sz w:val="28"/>
          <w:szCs w:val="28"/>
          <w:lang w:val="ru-RU" w:eastAsia="ar-SA"/>
        </w:rPr>
        <w:t>31087,8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32E2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32E27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532E27">
        <w:rPr>
          <w:rFonts w:ascii="Times New Roman" w:hAnsi="Times New Roman"/>
          <w:sz w:val="28"/>
          <w:szCs w:val="28"/>
          <w:lang w:eastAsia="ar-SA"/>
        </w:rPr>
        <w:t>н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7F24F7">
        <w:rPr>
          <w:rFonts w:ascii="Times New Roman" w:hAnsi="Times New Roman"/>
          <w:sz w:val="28"/>
          <w:szCs w:val="28"/>
          <w:lang w:val="ru-RU" w:eastAsia="ar-SA"/>
        </w:rPr>
        <w:t>37043,7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32E27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532E27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32E27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32E27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532E27">
        <w:rPr>
          <w:rFonts w:ascii="Times New Roman" w:hAnsi="Times New Roman"/>
          <w:sz w:val="28"/>
          <w:szCs w:val="28"/>
          <w:lang w:eastAsia="ar-SA"/>
        </w:rPr>
        <w:t>що становить 8</w:t>
      </w:r>
      <w:r w:rsidR="007F24F7">
        <w:rPr>
          <w:rFonts w:ascii="Times New Roman" w:hAnsi="Times New Roman"/>
          <w:sz w:val="28"/>
          <w:szCs w:val="28"/>
          <w:lang w:val="ru-RU" w:eastAsia="ar-SA"/>
        </w:rPr>
        <w:t>3,9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%</w:t>
      </w:r>
      <w:r w:rsidR="00C710C4">
        <w:rPr>
          <w:rFonts w:ascii="Times New Roman" w:hAnsi="Times New Roman"/>
          <w:sz w:val="28"/>
          <w:szCs w:val="28"/>
          <w:lang w:eastAsia="ar-SA"/>
        </w:rPr>
        <w:t xml:space="preserve"> або 8</w:t>
      </w:r>
      <w:r w:rsidR="00C710C4">
        <w:rPr>
          <w:rFonts w:ascii="Times New Roman" w:hAnsi="Times New Roman"/>
          <w:sz w:val="28"/>
          <w:szCs w:val="28"/>
          <w:lang w:val="ru-RU" w:eastAsia="ar-SA"/>
        </w:rPr>
        <w:t>4,4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7EA">
        <w:rPr>
          <w:rFonts w:ascii="Times New Roman" w:hAnsi="Times New Roman"/>
          <w:sz w:val="28"/>
          <w:szCs w:val="28"/>
          <w:lang w:eastAsia="ar-SA"/>
        </w:rPr>
        <w:t xml:space="preserve">Видатки на галузь освіта становлять </w:t>
      </w:r>
      <w:r w:rsidR="00D655CE">
        <w:rPr>
          <w:rFonts w:ascii="Times New Roman" w:hAnsi="Times New Roman"/>
          <w:sz w:val="28"/>
          <w:szCs w:val="28"/>
          <w:lang w:val="ru-RU" w:eastAsia="ar-SA"/>
        </w:rPr>
        <w:t>24864,9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при уточненому плані на вказаний період –</w:t>
      </w:r>
      <w:r w:rsidRPr="00893679">
        <w:t xml:space="preserve"> </w:t>
      </w:r>
      <w:r w:rsidR="00D655CE">
        <w:rPr>
          <w:sz w:val="28"/>
          <w:szCs w:val="28"/>
          <w:lang w:val="ru-RU"/>
        </w:rPr>
        <w:t>28754,9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="00D655CE">
        <w:rPr>
          <w:rFonts w:ascii="Times New Roman" w:hAnsi="Times New Roman"/>
          <w:sz w:val="28"/>
          <w:szCs w:val="28"/>
          <w:lang w:val="ru-RU" w:eastAsia="ar-SA"/>
        </w:rPr>
        <w:t>6,5</w:t>
      </w:r>
      <w:r w:rsidR="009E6E5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%), в т.ч. видатки на </w:t>
      </w:r>
      <w:proofErr w:type="spellStart"/>
      <w:r w:rsidR="00185C2E">
        <w:rPr>
          <w:rFonts w:ascii="Times New Roman" w:hAnsi="Times New Roman"/>
          <w:sz w:val="28"/>
          <w:szCs w:val="28"/>
          <w:lang w:val="ru-RU" w:eastAsia="ar-SA"/>
        </w:rPr>
        <w:t>н</w:t>
      </w:r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адання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школами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185C2E">
        <w:rPr>
          <w:rFonts w:ascii="Times New Roman" w:hAnsi="Times New Roman"/>
          <w:sz w:val="28"/>
          <w:szCs w:val="28"/>
          <w:lang w:val="ru-RU" w:eastAsia="ar-SA"/>
        </w:rPr>
        <w:t>964,1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– </w:t>
      </w:r>
      <w:r w:rsidR="00185C2E">
        <w:rPr>
          <w:rFonts w:ascii="Times New Roman" w:hAnsi="Times New Roman"/>
          <w:sz w:val="28"/>
          <w:szCs w:val="28"/>
          <w:lang w:val="ru-RU" w:eastAsia="ar-SA"/>
        </w:rPr>
        <w:t>1064,1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 w:rsidR="00185C2E">
        <w:rPr>
          <w:rFonts w:ascii="Times New Roman" w:hAnsi="Times New Roman"/>
          <w:sz w:val="28"/>
          <w:szCs w:val="28"/>
          <w:lang w:val="ru-RU" w:eastAsia="ar-SA"/>
        </w:rPr>
        <w:t>90,6</w:t>
      </w:r>
      <w:r w:rsidR="009E6E5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F41EC" w:rsidRPr="00F136A6" w:rsidRDefault="00CF41EC" w:rsidP="00CF41E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Н</w:t>
      </w:r>
      <w:r w:rsidRPr="003867EA">
        <w:rPr>
          <w:rFonts w:ascii="Times New Roman" w:hAnsi="Times New Roman"/>
          <w:sz w:val="28"/>
          <w:szCs w:val="28"/>
          <w:lang w:eastAsia="ar-SA"/>
        </w:rPr>
        <w:t>а галузь о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хорона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здоров</w:t>
      </w:r>
      <w:r w:rsidR="009E6E55" w:rsidRPr="000C4DFC">
        <w:rPr>
          <w:rFonts w:ascii="Times New Roman" w:hAnsi="Times New Roman"/>
          <w:sz w:val="28"/>
          <w:szCs w:val="28"/>
          <w:lang w:val="ru-RU" w:eastAsia="ar-SA"/>
        </w:rPr>
        <w:t>'</w:t>
      </w:r>
      <w:r>
        <w:rPr>
          <w:rFonts w:ascii="Times New Roman" w:hAnsi="Times New Roman"/>
          <w:sz w:val="28"/>
          <w:szCs w:val="28"/>
          <w:lang w:val="ru-RU" w:eastAsia="ar-SA"/>
        </w:rPr>
        <w:t>я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заплановано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ar-SA"/>
        </w:rPr>
        <w:t>видатків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/>
          <w:sz w:val="28"/>
          <w:szCs w:val="28"/>
          <w:lang w:val="ru-RU" w:eastAsia="ar-SA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сумі </w:t>
      </w:r>
      <w:r w:rsidR="00B00DC2">
        <w:rPr>
          <w:rFonts w:ascii="Times New Roman" w:hAnsi="Times New Roman"/>
          <w:sz w:val="28"/>
          <w:szCs w:val="28"/>
          <w:lang w:eastAsia="ar-SA"/>
        </w:rPr>
        <w:t>2781,2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</w:t>
      </w:r>
      <w:proofErr w:type="gramStart"/>
      <w:r w:rsidRPr="00A67432">
        <w:rPr>
          <w:rFonts w:ascii="Times New Roman" w:hAnsi="Times New Roman"/>
          <w:sz w:val="28"/>
          <w:szCs w:val="28"/>
          <w:lang w:eastAsia="ar-SA"/>
        </w:rPr>
        <w:t>.г</w:t>
      </w:r>
      <w:proofErr w:type="gramEnd"/>
      <w:r w:rsidRPr="00A67432">
        <w:rPr>
          <w:rFonts w:ascii="Times New Roman" w:hAnsi="Times New Roman"/>
          <w:sz w:val="28"/>
          <w:szCs w:val="28"/>
          <w:lang w:eastAsia="ar-SA"/>
        </w:rPr>
        <w:t>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B00DC2">
        <w:rPr>
          <w:rFonts w:ascii="Times New Roman" w:hAnsi="Times New Roman"/>
          <w:sz w:val="28"/>
          <w:szCs w:val="28"/>
          <w:lang w:eastAsia="ar-SA"/>
        </w:rPr>
        <w:t>1743,8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>. (</w:t>
      </w:r>
      <w:r w:rsidR="00B00DC2">
        <w:rPr>
          <w:rFonts w:ascii="Times New Roman" w:hAnsi="Times New Roman"/>
          <w:sz w:val="28"/>
          <w:szCs w:val="28"/>
          <w:lang w:eastAsia="ar-SA"/>
        </w:rPr>
        <w:t>62,7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6905">
        <w:rPr>
          <w:rFonts w:ascii="Times New Roman" w:hAnsi="Times New Roman"/>
          <w:sz w:val="28"/>
          <w:szCs w:val="28"/>
          <w:lang w:eastAsia="ar-SA"/>
        </w:rPr>
        <w:t xml:space="preserve">По галузі культура і мистецтво видатки становлять </w:t>
      </w:r>
      <w:r w:rsidR="00190F8B">
        <w:rPr>
          <w:rFonts w:ascii="Times New Roman" w:hAnsi="Times New Roman"/>
          <w:sz w:val="28"/>
          <w:szCs w:val="28"/>
          <w:lang w:val="ru-RU" w:eastAsia="ar-SA"/>
        </w:rPr>
        <w:t>2091,2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D690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</w:t>
      </w:r>
      <w:r w:rsidR="00B00DC2">
        <w:rPr>
          <w:rFonts w:ascii="Times New Roman" w:hAnsi="Times New Roman"/>
          <w:sz w:val="28"/>
          <w:szCs w:val="28"/>
          <w:lang w:eastAsia="ar-SA"/>
        </w:rPr>
        <w:t xml:space="preserve">на вказаний період </w:t>
      </w:r>
      <w:r w:rsidR="00190F8B">
        <w:rPr>
          <w:rFonts w:ascii="Times New Roman" w:hAnsi="Times New Roman"/>
          <w:sz w:val="28"/>
          <w:szCs w:val="28"/>
          <w:lang w:val="ru-RU" w:eastAsia="ar-SA"/>
        </w:rPr>
        <w:t>2525,3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9E6E55">
        <w:rPr>
          <w:rFonts w:ascii="Times New Roman" w:hAnsi="Times New Roman"/>
          <w:sz w:val="28"/>
          <w:szCs w:val="28"/>
          <w:lang w:eastAsia="ar-SA"/>
        </w:rPr>
        <w:t>тис.</w:t>
      </w:r>
      <w:r w:rsidRPr="00FD6905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>. (</w:t>
      </w:r>
      <w:r w:rsidR="00190F8B">
        <w:rPr>
          <w:rFonts w:ascii="Times New Roman" w:hAnsi="Times New Roman"/>
          <w:sz w:val="28"/>
          <w:szCs w:val="28"/>
          <w:lang w:val="ru-RU" w:eastAsia="ar-SA"/>
        </w:rPr>
        <w:t>82,8</w:t>
      </w:r>
      <w:r w:rsidR="009E6E5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D6905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A67432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743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 утримання ДЮСШ та проведення заходів з фізичної культури і спорту бюджетом на </w:t>
      </w:r>
      <w:r w:rsidR="006B2F2E">
        <w:rPr>
          <w:rFonts w:ascii="Times New Roman" w:hAnsi="Times New Roman"/>
          <w:sz w:val="28"/>
          <w:szCs w:val="28"/>
          <w:lang w:val="ru-RU" w:eastAsia="ar-SA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B2F2E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передбачені  кошти в сумі </w:t>
      </w:r>
      <w:r w:rsidR="00042DE6">
        <w:rPr>
          <w:rFonts w:ascii="Times New Roman" w:hAnsi="Times New Roman"/>
          <w:sz w:val="28"/>
          <w:szCs w:val="28"/>
          <w:lang w:val="ru-RU" w:eastAsia="ar-SA"/>
        </w:rPr>
        <w:t>1006,9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042DE6">
        <w:rPr>
          <w:rFonts w:ascii="Times New Roman" w:hAnsi="Times New Roman"/>
          <w:sz w:val="28"/>
          <w:szCs w:val="28"/>
          <w:lang w:val="ru-RU" w:eastAsia="ar-SA"/>
        </w:rPr>
        <w:t>765,2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042DE6">
        <w:rPr>
          <w:rFonts w:ascii="Times New Roman" w:hAnsi="Times New Roman"/>
          <w:sz w:val="28"/>
          <w:szCs w:val="28"/>
          <w:lang w:val="ru-RU" w:eastAsia="ar-SA"/>
        </w:rPr>
        <w:t>76,0</w:t>
      </w:r>
      <w:r w:rsidR="009E6E5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C4BF0">
        <w:rPr>
          <w:rFonts w:ascii="Times New Roman" w:hAnsi="Times New Roman"/>
          <w:sz w:val="28"/>
          <w:szCs w:val="28"/>
          <w:lang w:eastAsia="ar-SA"/>
        </w:rPr>
        <w:t>На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соціальний захист та соціальне забезпечення заплановано в бюджеті на </w:t>
      </w:r>
      <w:r w:rsidR="003649ED">
        <w:rPr>
          <w:rFonts w:ascii="Times New Roman" w:hAnsi="Times New Roman"/>
          <w:sz w:val="28"/>
          <w:szCs w:val="28"/>
          <w:lang w:val="ru-RU" w:eastAsia="ar-SA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3649ED">
        <w:rPr>
          <w:rFonts w:ascii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6A49">
        <w:rPr>
          <w:rFonts w:ascii="Times New Roman" w:hAnsi="Times New Roman"/>
          <w:sz w:val="28"/>
          <w:szCs w:val="28"/>
          <w:lang w:val="ru-RU" w:eastAsia="ar-SA"/>
        </w:rPr>
        <w:t>року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5551">
        <w:rPr>
          <w:rFonts w:ascii="Times New Roman" w:hAnsi="Times New Roman"/>
          <w:sz w:val="28"/>
          <w:szCs w:val="28"/>
          <w:lang w:val="ru-RU" w:eastAsia="ar-SA"/>
        </w:rPr>
        <w:t>1975,5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5551">
        <w:rPr>
          <w:rFonts w:ascii="Times New Roman" w:hAnsi="Times New Roman"/>
          <w:sz w:val="28"/>
          <w:szCs w:val="28"/>
          <w:lang w:val="ru-RU" w:eastAsia="ar-SA"/>
        </w:rPr>
        <w:t>1622,7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="008D5551">
        <w:rPr>
          <w:rFonts w:ascii="Times New Roman" w:hAnsi="Times New Roman"/>
          <w:sz w:val="28"/>
          <w:szCs w:val="28"/>
          <w:lang w:val="ru-RU" w:eastAsia="ar-SA"/>
        </w:rPr>
        <w:t>2,1</w:t>
      </w:r>
      <w:r w:rsidR="009E6E5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26A49">
        <w:rPr>
          <w:rFonts w:ascii="Times New Roman" w:hAnsi="Times New Roman"/>
          <w:sz w:val="28"/>
          <w:szCs w:val="28"/>
          <w:lang w:eastAsia="ar-SA"/>
        </w:rPr>
        <w:t>%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Pr="00F26A49">
        <w:rPr>
          <w:rFonts w:ascii="Times New Roman" w:hAnsi="Times New Roman"/>
          <w:sz w:val="28"/>
          <w:szCs w:val="28"/>
          <w:lang w:eastAsia="ar-SA"/>
        </w:rPr>
        <w:t>.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7FE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r w:rsidR="001961B8">
        <w:rPr>
          <w:rFonts w:ascii="Times New Roman" w:hAnsi="Times New Roman"/>
          <w:sz w:val="28"/>
          <w:szCs w:val="28"/>
          <w:lang w:val="ru-RU" w:eastAsia="ar-SA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63B81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961B8">
        <w:rPr>
          <w:rFonts w:ascii="Times New Roman" w:hAnsi="Times New Roman"/>
          <w:sz w:val="28"/>
          <w:szCs w:val="28"/>
          <w:lang w:eastAsia="ru-RU"/>
        </w:rPr>
        <w:t>1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у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1961B8">
        <w:rPr>
          <w:rFonts w:ascii="Times New Roman" w:hAnsi="Times New Roman"/>
          <w:sz w:val="28"/>
          <w:szCs w:val="28"/>
          <w:lang w:val="ru-RU" w:eastAsia="ar-SA"/>
        </w:rPr>
        <w:t>6254,8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C237FE">
        <w:rPr>
          <w:rFonts w:ascii="Times New Roman" w:hAnsi="Times New Roman"/>
          <w:sz w:val="28"/>
          <w:szCs w:val="28"/>
          <w:lang w:eastAsia="ar-SA"/>
        </w:rPr>
        <w:t>н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 w:rsidR="001961B8">
        <w:rPr>
          <w:rFonts w:ascii="Times New Roman" w:hAnsi="Times New Roman"/>
          <w:sz w:val="28"/>
          <w:szCs w:val="28"/>
          <w:lang w:eastAsia="ar-SA"/>
        </w:rPr>
        <w:t>7626,2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1961B8">
        <w:rPr>
          <w:rFonts w:ascii="Times New Roman" w:hAnsi="Times New Roman"/>
          <w:sz w:val="28"/>
          <w:szCs w:val="28"/>
          <w:lang w:val="ru-RU" w:eastAsia="ar-SA"/>
        </w:rPr>
        <w:t>82,0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AE54E7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54E7">
        <w:rPr>
          <w:rFonts w:ascii="Times New Roman" w:hAnsi="Times New Roman"/>
          <w:sz w:val="28"/>
          <w:szCs w:val="28"/>
          <w:lang w:eastAsia="ar-SA"/>
        </w:rPr>
        <w:t xml:space="preserve">Значну частину </w:t>
      </w:r>
      <w:r>
        <w:rPr>
          <w:rFonts w:ascii="Times New Roman" w:hAnsi="Times New Roman"/>
          <w:sz w:val="28"/>
          <w:szCs w:val="28"/>
          <w:lang w:eastAsia="ar-SA"/>
        </w:rPr>
        <w:t xml:space="preserve">видатків спеціального фонду громади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становлять видатки </w:t>
      </w:r>
      <w:r w:rsidR="00B56C1E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>економічн</w:t>
      </w:r>
      <w:r w:rsidR="00B56C1E">
        <w:rPr>
          <w:rFonts w:ascii="Times New Roman" w:hAnsi="Times New Roman"/>
          <w:sz w:val="28"/>
          <w:szCs w:val="28"/>
          <w:lang w:eastAsia="ar-SA"/>
        </w:rPr>
        <w:t>у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 xml:space="preserve"> діяльність – </w:t>
      </w:r>
      <w:r w:rsidR="00B56C1E">
        <w:rPr>
          <w:rFonts w:ascii="Times New Roman" w:hAnsi="Times New Roman"/>
          <w:sz w:val="28"/>
          <w:szCs w:val="28"/>
          <w:lang w:eastAsia="ar-SA"/>
        </w:rPr>
        <w:t>81,8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>%</w:t>
      </w:r>
      <w:r w:rsidR="00A13AC5">
        <w:rPr>
          <w:rFonts w:ascii="Times New Roman" w:hAnsi="Times New Roman"/>
          <w:sz w:val="28"/>
          <w:szCs w:val="28"/>
          <w:lang w:eastAsia="ar-SA"/>
        </w:rPr>
        <w:t>,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13AC5">
        <w:rPr>
          <w:rFonts w:ascii="Times New Roman" w:hAnsi="Times New Roman"/>
          <w:sz w:val="28"/>
          <w:szCs w:val="28"/>
          <w:lang w:eastAsia="ar-SA"/>
        </w:rPr>
        <w:t>н</w:t>
      </w:r>
      <w:r w:rsidR="00B53E2A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EE75E5">
        <w:rPr>
          <w:rFonts w:ascii="Times New Roman" w:hAnsi="Times New Roman"/>
          <w:sz w:val="28"/>
          <w:szCs w:val="28"/>
          <w:lang w:eastAsia="ar-SA"/>
        </w:rPr>
        <w:t>галуз</w:t>
      </w:r>
      <w:r w:rsidR="00B53E2A">
        <w:rPr>
          <w:rFonts w:ascii="Times New Roman" w:hAnsi="Times New Roman"/>
          <w:sz w:val="28"/>
          <w:szCs w:val="28"/>
          <w:lang w:eastAsia="ar-SA"/>
        </w:rPr>
        <w:t>ь</w:t>
      </w:r>
      <w:r w:rsidRPr="00EE75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освіта – </w:t>
      </w:r>
      <w:r w:rsidR="00B8414C">
        <w:rPr>
          <w:rFonts w:ascii="Times New Roman" w:hAnsi="Times New Roman"/>
          <w:sz w:val="28"/>
          <w:szCs w:val="28"/>
          <w:lang w:eastAsia="ar-SA"/>
        </w:rPr>
        <w:t>8,3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>%, соціальний захист та соціальне забезпечення –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56BF7">
        <w:rPr>
          <w:rFonts w:ascii="Times New Roman" w:hAnsi="Times New Roman"/>
          <w:sz w:val="28"/>
          <w:szCs w:val="28"/>
          <w:lang w:eastAsia="ar-SA"/>
        </w:rPr>
        <w:t>6,5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1040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6905">
        <w:rPr>
          <w:rFonts w:ascii="Times New Roman" w:hAnsi="Times New Roman"/>
          <w:sz w:val="28"/>
          <w:szCs w:val="28"/>
          <w:lang w:eastAsia="ar-SA"/>
        </w:rPr>
        <w:t>культура і мистецтво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454CF6">
        <w:rPr>
          <w:rFonts w:ascii="Times New Roman" w:hAnsi="Times New Roman"/>
          <w:sz w:val="28"/>
          <w:szCs w:val="28"/>
          <w:lang w:eastAsia="ar-SA"/>
        </w:rPr>
        <w:t>1,7</w:t>
      </w:r>
      <w:r>
        <w:rPr>
          <w:rFonts w:ascii="Times New Roman" w:hAnsi="Times New Roman"/>
          <w:sz w:val="28"/>
          <w:szCs w:val="28"/>
          <w:lang w:eastAsia="ar-SA"/>
        </w:rPr>
        <w:t xml:space="preserve"> %</w:t>
      </w:r>
      <w:r w:rsidR="00A13AC5">
        <w:rPr>
          <w:rFonts w:ascii="Times New Roman" w:hAnsi="Times New Roman"/>
          <w:sz w:val="28"/>
          <w:szCs w:val="28"/>
          <w:lang w:eastAsia="ar-SA"/>
        </w:rPr>
        <w:t>.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Default="00DF64AB" w:rsidP="00DF64AB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DF64AB" w:rsidRPr="00A71AF6" w:rsidRDefault="00DF64AB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6303C2">
        <w:rPr>
          <w:rFonts w:asciiTheme="minorHAnsi" w:hAnsiTheme="minorHAnsi"/>
          <w:b/>
          <w:bCs/>
          <w:color w:val="000000"/>
          <w:sz w:val="28"/>
          <w:szCs w:val="28"/>
        </w:rPr>
        <w:t>1 квартал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6303C2">
        <w:rPr>
          <w:rFonts w:asciiTheme="minorHAnsi" w:hAnsiTheme="minorHAnsi"/>
          <w:b/>
          <w:bCs/>
          <w:color w:val="000000"/>
          <w:sz w:val="28"/>
          <w:szCs w:val="28"/>
        </w:rPr>
        <w:t>1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  <w:r w:rsidR="00A71AF6">
        <w:rPr>
          <w:rFonts w:asciiTheme="minorHAnsi" w:hAnsi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A71AF6">
        <w:rPr>
          <w:rFonts w:asciiTheme="minorHAnsi" w:hAnsiTheme="minorHAnsi"/>
          <w:b/>
          <w:bCs/>
          <w:color w:val="000000"/>
          <w:sz w:val="28"/>
          <w:szCs w:val="28"/>
        </w:rPr>
        <w:t>тис.грн</w:t>
      </w:r>
      <w:proofErr w:type="spellEnd"/>
      <w:r w:rsidR="00A71AF6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:rsidR="00A71AF6" w:rsidRDefault="00A71AF6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71AF6" w:rsidRPr="00A71AF6" w:rsidRDefault="00A71AF6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Pr="00F136A6" w:rsidRDefault="00FF1A75" w:rsidP="00DF64AB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9B4A15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670200FE" wp14:editId="52ECF61A">
            <wp:extent cx="6512944" cy="5727939"/>
            <wp:effectExtent l="0" t="0" r="2540" b="6350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F64AB" w:rsidRPr="008C5EF1" w:rsidRDefault="00DF64AB" w:rsidP="00DF6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46C8">
        <w:rPr>
          <w:rFonts w:ascii="Times New Roman" w:hAnsi="Times New Roman"/>
          <w:sz w:val="28"/>
          <w:szCs w:val="28"/>
          <w:lang w:eastAsia="ru-RU"/>
        </w:rPr>
        <w:lastRenderedPageBreak/>
        <w:t>При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фінансуванні бюджетних установ та закладів за </w:t>
      </w:r>
      <w:r w:rsidR="00341050">
        <w:rPr>
          <w:rFonts w:ascii="Times New Roman" w:hAnsi="Times New Roman"/>
          <w:sz w:val="28"/>
          <w:szCs w:val="28"/>
          <w:lang w:eastAsia="ru-RU"/>
        </w:rPr>
        <w:t>1 квартал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341050">
        <w:rPr>
          <w:rFonts w:ascii="Times New Roman" w:hAnsi="Times New Roman"/>
          <w:sz w:val="28"/>
          <w:szCs w:val="28"/>
          <w:lang w:eastAsia="ru-RU"/>
        </w:rPr>
        <w:t>1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в першочерговому порядку фінансувались видатки по захищених статтях витрат, визначених рішенням Новоукраїнської міської ради від </w:t>
      </w:r>
      <w:r w:rsidR="00341050" w:rsidRPr="005E7383">
        <w:rPr>
          <w:rFonts w:ascii="Times New Roman" w:hAnsi="Times New Roman"/>
          <w:sz w:val="28"/>
          <w:szCs w:val="28"/>
          <w:lang w:eastAsia="ru-RU"/>
        </w:rPr>
        <w:t>22.12.2020 року №</w:t>
      </w:r>
      <w:r w:rsidR="009E6E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1050"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видатки загального фонду  яких становлять </w:t>
      </w:r>
      <w:r w:rsidR="005F6662">
        <w:rPr>
          <w:rFonts w:ascii="Times New Roman" w:hAnsi="Times New Roman"/>
          <w:sz w:val="28"/>
          <w:szCs w:val="28"/>
          <w:lang w:eastAsia="ar-SA"/>
        </w:rPr>
        <w:t>33614,3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., що складає 9</w:t>
      </w:r>
      <w:r w:rsidR="005F6662">
        <w:rPr>
          <w:rFonts w:ascii="Times New Roman" w:hAnsi="Times New Roman"/>
          <w:sz w:val="28"/>
          <w:szCs w:val="28"/>
          <w:lang w:eastAsia="ar-SA"/>
        </w:rPr>
        <w:t>1,3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 від загального обсягу видатків, у тому числі на оплату праці і нарахування на заробітну плату – </w:t>
      </w:r>
      <w:r w:rsidR="005F6662">
        <w:rPr>
          <w:rFonts w:ascii="Times New Roman" w:hAnsi="Times New Roman"/>
          <w:sz w:val="28"/>
          <w:szCs w:val="28"/>
          <w:lang w:eastAsia="ar-SA"/>
        </w:rPr>
        <w:t>32009,7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F811A8">
        <w:rPr>
          <w:rFonts w:ascii="Times New Roman" w:hAnsi="Times New Roman"/>
          <w:sz w:val="28"/>
          <w:szCs w:val="28"/>
          <w:lang w:eastAsia="ar-SA"/>
        </w:rPr>
        <w:t>(</w:t>
      </w:r>
      <w:r w:rsidR="00F811A8" w:rsidRPr="00F811A8">
        <w:rPr>
          <w:rFonts w:ascii="Times New Roman" w:hAnsi="Times New Roman"/>
          <w:sz w:val="28"/>
          <w:szCs w:val="28"/>
          <w:lang w:eastAsia="ar-SA"/>
        </w:rPr>
        <w:t>86,9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на медикаменти та перев`язувальні матеріали – </w:t>
      </w:r>
      <w:r w:rsidR="009100BE">
        <w:rPr>
          <w:rFonts w:ascii="Times New Roman" w:hAnsi="Times New Roman"/>
          <w:sz w:val="28"/>
          <w:szCs w:val="28"/>
          <w:lang w:eastAsia="ar-SA"/>
        </w:rPr>
        <w:t>0,0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 xml:space="preserve">., на продукти харчування – </w:t>
      </w:r>
      <w:r w:rsidR="009100BE">
        <w:rPr>
          <w:rFonts w:ascii="Times New Roman" w:hAnsi="Times New Roman"/>
          <w:sz w:val="28"/>
          <w:szCs w:val="28"/>
          <w:lang w:eastAsia="ar-SA"/>
        </w:rPr>
        <w:t>277,6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0,8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%), оплату комунальних послуг та енергоносіїв –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D04FAD">
        <w:rPr>
          <w:rFonts w:ascii="Times New Roman" w:hAnsi="Times New Roman"/>
          <w:sz w:val="28"/>
          <w:szCs w:val="28"/>
          <w:lang w:eastAsia="ar-SA"/>
        </w:rPr>
        <w:t xml:space="preserve">1020,9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9100BE">
        <w:rPr>
          <w:rFonts w:ascii="Times New Roman" w:hAnsi="Times New Roman"/>
          <w:sz w:val="28"/>
          <w:szCs w:val="28"/>
          <w:lang w:eastAsia="ar-SA"/>
        </w:rPr>
        <w:t>2,8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поточні трансферти органам державного управління інших рівнів – </w:t>
      </w:r>
      <w:r w:rsidR="009100BE">
        <w:rPr>
          <w:rFonts w:ascii="Times New Roman" w:hAnsi="Times New Roman"/>
          <w:sz w:val="28"/>
          <w:szCs w:val="28"/>
          <w:lang w:eastAsia="ar-SA"/>
        </w:rPr>
        <w:t>0,0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</w:t>
      </w:r>
      <w:r w:rsidR="009100BE">
        <w:rPr>
          <w:rFonts w:ascii="Times New Roman" w:hAnsi="Times New Roman"/>
          <w:sz w:val="28"/>
          <w:szCs w:val="28"/>
          <w:lang w:eastAsia="ar-SA"/>
        </w:rPr>
        <w:t>,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інші виплати населенню – </w:t>
      </w:r>
      <w:r w:rsidR="009100BE">
        <w:rPr>
          <w:rFonts w:ascii="Times New Roman" w:hAnsi="Times New Roman"/>
          <w:sz w:val="28"/>
          <w:szCs w:val="28"/>
          <w:lang w:eastAsia="ar-SA"/>
        </w:rPr>
        <w:t xml:space="preserve">306,2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(0,</w:t>
      </w:r>
      <w:r w:rsidR="009100BE">
        <w:rPr>
          <w:rFonts w:ascii="Times New Roman" w:hAnsi="Times New Roman"/>
          <w:sz w:val="28"/>
          <w:szCs w:val="28"/>
          <w:lang w:eastAsia="ar-SA"/>
        </w:rPr>
        <w:t>8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FC010F" w:rsidRDefault="00DF64AB" w:rsidP="00DF64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За </w:t>
      </w:r>
      <w:r w:rsidR="003968FA">
        <w:rPr>
          <w:rFonts w:ascii="Times New Roman" w:hAnsi="Times New Roman"/>
          <w:sz w:val="28"/>
          <w:szCs w:val="28"/>
          <w:lang w:eastAsia="ar-SA"/>
        </w:rPr>
        <w:t>1 квартал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3968FA">
        <w:rPr>
          <w:rFonts w:ascii="Times New Roman" w:hAnsi="Times New Roman"/>
          <w:sz w:val="28"/>
          <w:szCs w:val="28"/>
          <w:lang w:eastAsia="ar-SA"/>
        </w:rPr>
        <w:t>1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року забезпечено своєчасну виплату заробітної плати працівникам бюджетних установ</w:t>
      </w:r>
      <w:r w:rsidRPr="0044120F">
        <w:rPr>
          <w:rFonts w:ascii="Times New Roman" w:eastAsia="Times New Roman" w:hAnsi="Times New Roman"/>
          <w:sz w:val="28"/>
          <w:szCs w:val="28"/>
          <w:lang w:eastAsia="ar-SA"/>
        </w:rPr>
        <w:t xml:space="preserve"> та стовідсоткову оплату за спожиті бюджетними установами енергоносії і комунальні послуги, </w:t>
      </w:r>
      <w:r w:rsidRPr="0044120F">
        <w:rPr>
          <w:rFonts w:ascii="Times New Roman" w:eastAsia="Times New Roman" w:hAnsi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DF64AB" w:rsidRPr="00A168E0" w:rsidRDefault="00DF64AB" w:rsidP="00DF6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47FA2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356D">
        <w:rPr>
          <w:rFonts w:ascii="Times New Roman" w:hAnsi="Times New Roman"/>
          <w:sz w:val="28"/>
          <w:szCs w:val="28"/>
          <w:lang w:eastAsia="ar-SA"/>
        </w:rPr>
        <w:t>6254,8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47FA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E47FA2">
        <w:rPr>
          <w:rFonts w:ascii="Times New Roman" w:hAnsi="Times New Roman"/>
          <w:sz w:val="28"/>
          <w:szCs w:val="28"/>
          <w:lang w:eastAsia="ar-SA"/>
        </w:rPr>
        <w:t>., з них найвагоміші:</w:t>
      </w:r>
      <w:r w:rsidR="00E62B7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користування – </w:t>
      </w:r>
      <w:r w:rsidR="000A27B7">
        <w:rPr>
          <w:rFonts w:ascii="Times New Roman" w:hAnsi="Times New Roman"/>
          <w:sz w:val="28"/>
          <w:szCs w:val="28"/>
          <w:lang w:eastAsia="ar-SA"/>
        </w:rPr>
        <w:t>399,9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47FA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E47FA2">
        <w:rPr>
          <w:rFonts w:ascii="Times New Roman" w:hAnsi="Times New Roman"/>
          <w:sz w:val="28"/>
          <w:szCs w:val="28"/>
          <w:lang w:eastAsia="ar-SA"/>
        </w:rPr>
        <w:t>. (</w:t>
      </w:r>
      <w:r w:rsidR="000A27B7">
        <w:rPr>
          <w:rFonts w:ascii="Times New Roman" w:hAnsi="Times New Roman"/>
          <w:sz w:val="28"/>
          <w:szCs w:val="28"/>
          <w:lang w:eastAsia="ar-SA"/>
        </w:rPr>
        <w:t>6</w:t>
      </w:r>
      <w:r w:rsidRPr="00E47FA2">
        <w:rPr>
          <w:rFonts w:ascii="Times New Roman" w:hAnsi="Times New Roman"/>
          <w:sz w:val="28"/>
          <w:szCs w:val="28"/>
          <w:lang w:eastAsia="ar-SA"/>
        </w:rPr>
        <w:t>,4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%), з них найбільші: </w:t>
      </w:r>
      <w:r w:rsidRPr="000C1FD8">
        <w:rPr>
          <w:rFonts w:ascii="Times New Roman" w:hAnsi="Times New Roman"/>
          <w:sz w:val="28"/>
          <w:szCs w:val="28"/>
          <w:lang w:eastAsia="ar-SA"/>
        </w:rPr>
        <w:t>отримано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>,</w:t>
      </w:r>
      <w:r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 xml:space="preserve">як централізоване постачання, </w:t>
      </w:r>
      <w:r w:rsidR="00BD661E" w:rsidRPr="000C1FD8">
        <w:rPr>
          <w:rFonts w:ascii="Times New Roman" w:hAnsi="Times New Roman"/>
          <w:sz w:val="28"/>
          <w:szCs w:val="28"/>
          <w:lang w:eastAsia="ar-SA"/>
        </w:rPr>
        <w:t>від Міністерства соціальної політики України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 xml:space="preserve"> (наказ Міністерства соціальної політики від 03.03</w:t>
      </w:r>
      <w:r w:rsidR="009E6E55">
        <w:rPr>
          <w:rFonts w:ascii="Times New Roman" w:hAnsi="Times New Roman"/>
          <w:sz w:val="28"/>
          <w:szCs w:val="28"/>
          <w:lang w:eastAsia="ar-SA"/>
        </w:rPr>
        <w:t>.2020 року №184 "Про надання об</w:t>
      </w:r>
      <w:r w:rsidR="009E6E55" w:rsidRPr="009E6E55">
        <w:rPr>
          <w:rFonts w:ascii="Times New Roman" w:hAnsi="Times New Roman"/>
          <w:sz w:val="28"/>
          <w:szCs w:val="28"/>
          <w:lang w:eastAsia="ar-SA"/>
        </w:rPr>
        <w:t>'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>єднаним територіальним громадам технічного оснащення щодо виконання функцій у сфері соціального захисту населення та захисту прав дітей")</w:t>
      </w:r>
      <w:r w:rsidR="00D53332" w:rsidRPr="000C1FD8">
        <w:rPr>
          <w:rFonts w:ascii="Times New Roman" w:hAnsi="Times New Roman"/>
          <w:sz w:val="28"/>
          <w:szCs w:val="28"/>
          <w:lang w:eastAsia="ar-SA"/>
        </w:rPr>
        <w:t xml:space="preserve"> для організації роботи працівників відділу соціальної підтримки населення Новоукраїнської міської ради, служби у справах дітей та інших посадових осіб, що надають адміністративні послуги соціального характеру у громаді</w:t>
      </w:r>
      <w:r w:rsidR="00EE53C4" w:rsidRPr="000C1FD8">
        <w:rPr>
          <w:rFonts w:ascii="Times New Roman" w:hAnsi="Times New Roman"/>
          <w:sz w:val="28"/>
          <w:szCs w:val="28"/>
          <w:lang w:eastAsia="ar-SA"/>
        </w:rPr>
        <w:t>,</w:t>
      </w:r>
      <w:r w:rsidR="00D53332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>комп</w:t>
      </w:r>
      <w:r w:rsidR="009E6E55" w:rsidRPr="009E6E55">
        <w:rPr>
          <w:rFonts w:ascii="Times New Roman" w:hAnsi="Times New Roman"/>
          <w:sz w:val="28"/>
          <w:szCs w:val="28"/>
          <w:lang w:eastAsia="ar-SA"/>
        </w:rPr>
        <w:t>'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>ютерну техніку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 xml:space="preserve"> (обладнання)</w:t>
      </w:r>
      <w:r w:rsidR="00EE53C4" w:rsidRPr="000C1FD8">
        <w:rPr>
          <w:rFonts w:ascii="Times New Roman" w:hAnsi="Times New Roman"/>
          <w:sz w:val="28"/>
          <w:szCs w:val="28"/>
          <w:lang w:eastAsia="ar-SA"/>
        </w:rPr>
        <w:t xml:space="preserve"> вартістю </w:t>
      </w:r>
      <w:r w:rsidR="0079005B" w:rsidRPr="000C1FD8">
        <w:rPr>
          <w:rFonts w:ascii="Times New Roman" w:hAnsi="Times New Roman"/>
          <w:sz w:val="28"/>
          <w:szCs w:val="28"/>
          <w:lang w:eastAsia="ar-SA"/>
        </w:rPr>
        <w:t xml:space="preserve">205,7 </w:t>
      </w:r>
      <w:proofErr w:type="spellStart"/>
      <w:r w:rsidR="0079005B" w:rsidRPr="000C1FD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79005B" w:rsidRPr="000C1FD8">
        <w:rPr>
          <w:rFonts w:ascii="Times New Roman" w:hAnsi="Times New Roman"/>
          <w:sz w:val="28"/>
          <w:szCs w:val="28"/>
          <w:lang w:eastAsia="ar-SA"/>
        </w:rPr>
        <w:t>.</w:t>
      </w:r>
      <w:r w:rsidR="00B22B87" w:rsidRPr="000C1FD8">
        <w:rPr>
          <w:rFonts w:ascii="Times New Roman" w:hAnsi="Times New Roman"/>
          <w:sz w:val="28"/>
          <w:szCs w:val="28"/>
          <w:lang w:eastAsia="ar-SA"/>
        </w:rPr>
        <w:t xml:space="preserve"> як основні засоби та на 180,6</w:t>
      </w:r>
      <w:r w:rsidR="00E44204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44204" w:rsidRPr="000C1FD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E44204" w:rsidRPr="000C1FD8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1278BD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E44204" w:rsidRPr="000C1FD8">
        <w:rPr>
          <w:rFonts w:ascii="Times New Roman" w:hAnsi="Times New Roman"/>
          <w:sz w:val="28"/>
          <w:szCs w:val="28"/>
          <w:lang w:eastAsia="ar-SA"/>
        </w:rPr>
        <w:t>як поточні видатки.</w:t>
      </w:r>
      <w:r w:rsidR="0079005B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6482E" w:rsidRPr="000C1FD8">
        <w:rPr>
          <w:rFonts w:ascii="Times New Roman" w:hAnsi="Times New Roman"/>
          <w:sz w:val="28"/>
          <w:szCs w:val="28"/>
          <w:lang w:eastAsia="ar-SA"/>
        </w:rPr>
        <w:t>Також</w:t>
      </w:r>
      <w:r w:rsidR="00F26F22">
        <w:rPr>
          <w:rFonts w:ascii="Times New Roman" w:hAnsi="Times New Roman"/>
          <w:sz w:val="28"/>
          <w:szCs w:val="28"/>
          <w:lang w:eastAsia="ar-SA"/>
        </w:rPr>
        <w:t>,</w:t>
      </w:r>
      <w:r w:rsidR="00965B85">
        <w:rPr>
          <w:rFonts w:ascii="Times New Roman" w:hAnsi="Times New Roman"/>
          <w:sz w:val="28"/>
          <w:szCs w:val="28"/>
          <w:lang w:eastAsia="ar-SA"/>
        </w:rPr>
        <w:t xml:space="preserve"> поповнено бібліотечний фонд </w:t>
      </w:r>
      <w:r w:rsidR="007C6401">
        <w:rPr>
          <w:rFonts w:ascii="Times New Roman" w:hAnsi="Times New Roman"/>
          <w:sz w:val="28"/>
          <w:szCs w:val="28"/>
          <w:lang w:eastAsia="ar-SA"/>
        </w:rPr>
        <w:t>громади</w:t>
      </w:r>
      <w:r w:rsidR="00965B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1D9E">
        <w:rPr>
          <w:rFonts w:ascii="Times New Roman" w:hAnsi="Times New Roman"/>
          <w:sz w:val="28"/>
          <w:szCs w:val="28"/>
          <w:lang w:eastAsia="ar-SA"/>
        </w:rPr>
        <w:t xml:space="preserve">літературою </w:t>
      </w:r>
      <w:r w:rsidR="00965B85">
        <w:rPr>
          <w:rFonts w:ascii="Times New Roman" w:hAnsi="Times New Roman"/>
          <w:sz w:val="28"/>
          <w:szCs w:val="28"/>
          <w:lang w:eastAsia="ar-SA"/>
        </w:rPr>
        <w:t>від бібліотеки ім. Д.І.Чижевського та населення</w:t>
      </w:r>
      <w:r w:rsidR="00C252AE">
        <w:rPr>
          <w:rFonts w:ascii="Times New Roman" w:hAnsi="Times New Roman"/>
          <w:sz w:val="28"/>
          <w:szCs w:val="28"/>
          <w:lang w:eastAsia="ar-SA"/>
        </w:rPr>
        <w:t xml:space="preserve"> на суму 105,0 </w:t>
      </w:r>
      <w:proofErr w:type="spellStart"/>
      <w:r w:rsidR="00C252A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C252AE">
        <w:rPr>
          <w:rFonts w:ascii="Times New Roman" w:hAnsi="Times New Roman"/>
          <w:sz w:val="28"/>
          <w:szCs w:val="28"/>
          <w:lang w:eastAsia="ar-SA"/>
        </w:rPr>
        <w:t>.</w:t>
      </w:r>
      <w:r w:rsidR="00551985">
        <w:rPr>
          <w:rFonts w:ascii="Times New Roman" w:hAnsi="Times New Roman"/>
          <w:sz w:val="28"/>
          <w:szCs w:val="28"/>
          <w:lang w:eastAsia="ar-SA"/>
        </w:rPr>
        <w:t>;</w:t>
      </w:r>
      <w:r w:rsidR="0076482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капітальний ремонт – </w:t>
      </w:r>
      <w:r w:rsidR="00E02FE9">
        <w:rPr>
          <w:rFonts w:ascii="Times New Roman" w:hAnsi="Times New Roman"/>
          <w:sz w:val="28"/>
          <w:szCs w:val="28"/>
          <w:lang w:eastAsia="ar-SA"/>
        </w:rPr>
        <w:t>3382,5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 тис. грн.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>(</w:t>
      </w:r>
      <w:r w:rsidR="00E02FE9">
        <w:rPr>
          <w:rFonts w:ascii="Times New Roman" w:hAnsi="Times New Roman"/>
          <w:sz w:val="28"/>
          <w:szCs w:val="28"/>
          <w:lang w:eastAsia="ar-SA"/>
        </w:rPr>
        <w:t>54,1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%), </w:t>
      </w:r>
      <w:r w:rsidRPr="00421F56">
        <w:rPr>
          <w:rFonts w:ascii="Times New Roman" w:hAnsi="Times New Roman"/>
          <w:sz w:val="28"/>
          <w:szCs w:val="28"/>
          <w:lang w:eastAsia="ar-SA"/>
        </w:rPr>
        <w:t xml:space="preserve">у тому числі </w:t>
      </w:r>
      <w:r w:rsidR="00551985">
        <w:rPr>
          <w:rFonts w:ascii="Times New Roman" w:hAnsi="Times New Roman"/>
          <w:sz w:val="28"/>
          <w:szCs w:val="28"/>
          <w:lang w:eastAsia="ar-SA"/>
        </w:rPr>
        <w:t xml:space="preserve">проведено 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ДП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1985" w:rsidRPr="00551985">
        <w:rPr>
          <w:rFonts w:ascii="Times New Roman" w:hAnsi="Times New Roman"/>
          <w:sz w:val="28"/>
          <w:szCs w:val="28"/>
          <w:lang w:eastAsia="ar-SA"/>
        </w:rPr>
        <w:t>"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Агенство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місцевих автомобільних доріг</w:t>
      </w:r>
      <w:r w:rsidR="00551985" w:rsidRPr="00551985">
        <w:rPr>
          <w:rFonts w:ascii="Times New Roman" w:hAnsi="Times New Roman"/>
          <w:sz w:val="28"/>
          <w:szCs w:val="28"/>
          <w:lang w:eastAsia="ar-SA"/>
        </w:rPr>
        <w:t>"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капітальний ремонт вул. Паризьк</w:t>
      </w:r>
      <w:r w:rsidR="009E6E55">
        <w:rPr>
          <w:rFonts w:ascii="Times New Roman" w:hAnsi="Times New Roman"/>
          <w:sz w:val="28"/>
          <w:szCs w:val="28"/>
          <w:lang w:eastAsia="ar-SA"/>
        </w:rPr>
        <w:t>ої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(від </w:t>
      </w:r>
      <w:r w:rsidR="009E6E55">
        <w:rPr>
          <w:rFonts w:ascii="Times New Roman" w:hAnsi="Times New Roman"/>
          <w:sz w:val="28"/>
          <w:szCs w:val="28"/>
          <w:lang w:eastAsia="ar-SA"/>
        </w:rPr>
        <w:t>вул.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Піщанобрідської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до пров. Херсонського</w:t>
      </w:r>
      <w:r w:rsidR="009E07C0" w:rsidRPr="00551985">
        <w:rPr>
          <w:rFonts w:ascii="Times New Roman" w:hAnsi="Times New Roman"/>
          <w:sz w:val="28"/>
          <w:szCs w:val="28"/>
          <w:lang w:eastAsia="ar-SA"/>
        </w:rPr>
        <w:t>)</w:t>
      </w:r>
      <w:r w:rsidRPr="00551985">
        <w:rPr>
          <w:rFonts w:ascii="Times New Roman" w:hAnsi="Times New Roman"/>
          <w:sz w:val="28"/>
          <w:szCs w:val="28"/>
          <w:lang w:eastAsia="ar-SA"/>
        </w:rPr>
        <w:t>;</w:t>
      </w:r>
      <w:r w:rsidRPr="00551985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реконструкція та реставрація – </w:t>
      </w:r>
      <w:r w:rsidR="009E07C0" w:rsidRPr="00551985">
        <w:rPr>
          <w:rFonts w:ascii="Times New Roman" w:hAnsi="Times New Roman"/>
          <w:sz w:val="28"/>
          <w:szCs w:val="28"/>
          <w:lang w:eastAsia="ar-SA"/>
        </w:rPr>
        <w:t>1683,4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5198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51985">
        <w:rPr>
          <w:rFonts w:ascii="Times New Roman" w:hAnsi="Times New Roman"/>
          <w:sz w:val="28"/>
          <w:szCs w:val="28"/>
          <w:lang w:eastAsia="ar-SA"/>
        </w:rPr>
        <w:t>.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>(26,</w:t>
      </w:r>
      <w:r w:rsidR="009E07C0" w:rsidRPr="00551985">
        <w:rPr>
          <w:rFonts w:ascii="Times New Roman" w:hAnsi="Times New Roman"/>
          <w:sz w:val="28"/>
          <w:szCs w:val="28"/>
          <w:lang w:eastAsia="ar-SA"/>
        </w:rPr>
        <w:t>9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>%), а саме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>,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в рамках програми </w:t>
      </w:r>
      <w:r w:rsidR="00385213" w:rsidRPr="00551985">
        <w:rPr>
          <w:rFonts w:ascii="Times New Roman" w:hAnsi="Times New Roman"/>
          <w:sz w:val="28"/>
          <w:szCs w:val="28"/>
          <w:lang w:val="en-US" w:eastAsia="ar-SA"/>
        </w:rPr>
        <w:t>DOBRE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для громади отримано </w:t>
      </w:r>
      <w:proofErr w:type="spellStart"/>
      <w:r w:rsidR="00385213" w:rsidRPr="00551985">
        <w:rPr>
          <w:rFonts w:ascii="Times New Roman" w:hAnsi="Times New Roman"/>
          <w:sz w:val="28"/>
          <w:szCs w:val="28"/>
          <w:lang w:eastAsia="ar-SA"/>
        </w:rPr>
        <w:t>світлодинамічний</w:t>
      </w:r>
      <w:proofErr w:type="spellEnd"/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пішохідний фонтан на суму 1605,4 </w:t>
      </w:r>
      <w:proofErr w:type="spellStart"/>
      <w:r w:rsidR="00385213" w:rsidRPr="0055198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385213" w:rsidRPr="00551985">
        <w:rPr>
          <w:rFonts w:ascii="Times New Roman" w:hAnsi="Times New Roman"/>
          <w:sz w:val="28"/>
          <w:szCs w:val="28"/>
          <w:lang w:eastAsia="ar-SA"/>
        </w:rPr>
        <w:t>. та два дерев</w:t>
      </w:r>
      <w:r w:rsidR="009E6E55" w:rsidRPr="009E6E55">
        <w:rPr>
          <w:rFonts w:ascii="Times New Roman" w:hAnsi="Times New Roman"/>
          <w:sz w:val="28"/>
          <w:szCs w:val="28"/>
          <w:lang w:eastAsia="ar-SA"/>
        </w:rPr>
        <w:t>'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яні кіоски для вуличної торгівлі на суму </w:t>
      </w:r>
      <w:r w:rsidR="00385213" w:rsidRPr="009E6E55">
        <w:rPr>
          <w:rFonts w:ascii="Times New Roman" w:hAnsi="Times New Roman"/>
          <w:sz w:val="28"/>
          <w:szCs w:val="28"/>
          <w:lang w:eastAsia="ar-SA"/>
        </w:rPr>
        <w:t xml:space="preserve">78,0 </w:t>
      </w:r>
      <w:proofErr w:type="spellStart"/>
      <w:r w:rsidR="00385213" w:rsidRPr="009E6E5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385213" w:rsidRPr="009E6E55">
        <w:rPr>
          <w:rFonts w:ascii="Times New Roman" w:hAnsi="Times New Roman"/>
          <w:sz w:val="28"/>
          <w:szCs w:val="28"/>
          <w:lang w:eastAsia="ar-SA"/>
        </w:rPr>
        <w:t xml:space="preserve">.; </w:t>
      </w:r>
      <w:r w:rsidR="00E424FE" w:rsidRPr="009E6E55">
        <w:rPr>
          <w:rFonts w:ascii="Times New Roman" w:hAnsi="Times New Roman"/>
          <w:sz w:val="28"/>
          <w:szCs w:val="28"/>
          <w:lang w:eastAsia="ar-SA"/>
        </w:rPr>
        <w:t>"</w:t>
      </w:r>
      <w:r w:rsidR="00385213" w:rsidRPr="009E6E55">
        <w:rPr>
          <w:rFonts w:ascii="Times New Roman" w:eastAsia="MS Gothic" w:hAnsi="Times New Roman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="00E424FE" w:rsidRPr="009E6E55">
        <w:rPr>
          <w:rFonts w:ascii="Times New Roman" w:eastAsia="MS Gothic" w:hAnsi="Times New Roman"/>
          <w:sz w:val="28"/>
          <w:szCs w:val="28"/>
          <w:shd w:val="clear" w:color="auto" w:fill="FFFFFF"/>
        </w:rPr>
        <w:t>"</w:t>
      </w:r>
      <w:r w:rsidR="00385213" w:rsidRPr="009E6E55">
        <w:rPr>
          <w:rFonts w:ascii="Times New Roman" w:eastAsia="MS Gothic" w:hAnsi="Times New Roman"/>
          <w:sz w:val="28"/>
          <w:szCs w:val="28"/>
          <w:shd w:val="clear" w:color="auto" w:fill="FFFFFF"/>
        </w:rPr>
        <w:t xml:space="preserve"> – 100,0 </w:t>
      </w:r>
      <w:proofErr w:type="spellStart"/>
      <w:r w:rsidR="00385213" w:rsidRPr="009E6E55">
        <w:rPr>
          <w:rFonts w:ascii="Times New Roman" w:eastAsia="MS Gothic" w:hAnsi="Times New Roman"/>
          <w:sz w:val="28"/>
          <w:szCs w:val="28"/>
          <w:shd w:val="clear" w:color="auto" w:fill="FFFFFF"/>
        </w:rPr>
        <w:t>тис.грн</w:t>
      </w:r>
      <w:proofErr w:type="spellEnd"/>
      <w:r w:rsidR="00385213" w:rsidRPr="009E6E55">
        <w:rPr>
          <w:rFonts w:ascii="Times New Roman" w:hAnsi="Times New Roman"/>
          <w:sz w:val="28"/>
          <w:szCs w:val="28"/>
          <w:lang w:eastAsia="ar-SA"/>
        </w:rPr>
        <w:t>., а саме</w:t>
      </w:r>
      <w:r w:rsidR="00572A8E" w:rsidRPr="009E6E55">
        <w:rPr>
          <w:rFonts w:ascii="Times New Roman" w:hAnsi="Times New Roman"/>
          <w:sz w:val="28"/>
          <w:szCs w:val="28"/>
          <w:lang w:eastAsia="ar-SA"/>
        </w:rPr>
        <w:t>,</w:t>
      </w:r>
      <w:r w:rsidRPr="009E6E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5213" w:rsidRPr="009E6E55">
        <w:rPr>
          <w:rFonts w:ascii="Times New Roman" w:hAnsi="Times New Roman"/>
          <w:sz w:val="28"/>
          <w:szCs w:val="28"/>
          <w:lang w:eastAsia="ar-SA"/>
        </w:rPr>
        <w:t xml:space="preserve">перераховано </w:t>
      </w:r>
      <w:r w:rsidR="00AF3FE7" w:rsidRPr="009E6E55">
        <w:rPr>
          <w:rFonts w:ascii="Times New Roman" w:hAnsi="Times New Roman"/>
          <w:sz w:val="28"/>
          <w:szCs w:val="28"/>
          <w:lang w:eastAsia="ar-SA"/>
        </w:rPr>
        <w:t xml:space="preserve">субвенцію з місцевого бюджету </w:t>
      </w:r>
      <w:r w:rsidR="00AF3FE7" w:rsidRPr="00AF3FE7">
        <w:rPr>
          <w:rFonts w:ascii="Times New Roman" w:hAnsi="Times New Roman"/>
          <w:sz w:val="28"/>
          <w:szCs w:val="28"/>
          <w:lang w:eastAsia="ar-SA"/>
        </w:rPr>
        <w:t>державному бюджету на виконання програм соціально-економічного розвитку регіоні</w:t>
      </w:r>
      <w:r w:rsidR="00AF3FE7">
        <w:rPr>
          <w:rFonts w:ascii="Times New Roman" w:hAnsi="Times New Roman"/>
          <w:sz w:val="28"/>
          <w:szCs w:val="28"/>
          <w:lang w:eastAsia="ar-SA"/>
        </w:rPr>
        <w:t>в</w:t>
      </w:r>
      <w:r w:rsidR="00AF3FE7" w:rsidRPr="00AF3FE7">
        <w:rPr>
          <w:rFonts w:ascii="Times New Roman" w:hAnsi="Times New Roman"/>
          <w:sz w:val="28"/>
          <w:szCs w:val="28"/>
          <w:lang w:eastAsia="ar-SA"/>
        </w:rPr>
        <w:t xml:space="preserve"> на фінансову підтримку для капітального ремонту покрівлі адміністративної будівлі  19 державної пожежно-рятувальної частини  УДСНС України у Кіровоградській області</w:t>
      </w:r>
      <w:r w:rsidRPr="00A168E0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Pr="009E6E55" w:rsidRDefault="00DF64AB" w:rsidP="00DF64A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 w:rsidR="002B7DCF">
        <w:rPr>
          <w:rFonts w:asciiTheme="minorHAnsi" w:hAnsiTheme="minorHAnsi"/>
          <w:b/>
          <w:bCs/>
          <w:color w:val="000000"/>
          <w:sz w:val="28"/>
          <w:szCs w:val="28"/>
        </w:rPr>
        <w:t>1 квартал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2B7DCF">
        <w:rPr>
          <w:rFonts w:asciiTheme="minorHAnsi" w:hAnsiTheme="minorHAnsi"/>
          <w:b/>
          <w:bCs/>
          <w:color w:val="000000"/>
          <w:sz w:val="28"/>
          <w:szCs w:val="28"/>
        </w:rPr>
        <w:t>1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</w:t>
      </w:r>
      <w:r w:rsidRPr="009E6E55">
        <w:rPr>
          <w:rFonts w:ascii="Times New Roman" w:hAnsi="Times New Roman"/>
          <w:b/>
          <w:bCs/>
          <w:color w:val="000000"/>
          <w:sz w:val="28"/>
          <w:szCs w:val="28"/>
        </w:rPr>
        <w:t>фонди)</w:t>
      </w:r>
      <w:r w:rsidR="00BA1E4B" w:rsidRPr="009E6E55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BA1E4B" w:rsidRPr="009E6E55">
        <w:rPr>
          <w:rFonts w:ascii="Times New Roman" w:hAnsi="Times New Roman"/>
          <w:b/>
          <w:bCs/>
          <w:color w:val="000000"/>
          <w:sz w:val="28"/>
          <w:szCs w:val="28"/>
        </w:rPr>
        <w:t>тис.грн</w:t>
      </w:r>
      <w:proofErr w:type="spellEnd"/>
      <w:r w:rsidR="00BA1E4B" w:rsidRPr="009E6E5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Pr="00F136A6" w:rsidRDefault="00DF64AB" w:rsidP="00DF64A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F48F5" w:rsidRPr="00F136A6" w:rsidRDefault="003F48F5" w:rsidP="003F48F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6E4F2837" wp14:editId="6DC6CB5A">
            <wp:extent cx="6438900" cy="6172200"/>
            <wp:effectExtent l="0" t="0" r="38100" b="0"/>
            <wp:docPr id="6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F64A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0451E">
        <w:rPr>
          <w:rFonts w:ascii="Times New Roman" w:hAnsi="Times New Roman"/>
          <w:sz w:val="28"/>
          <w:szCs w:val="28"/>
          <w:lang w:eastAsia="ru-RU"/>
        </w:rPr>
        <w:t xml:space="preserve">Підводячи підсумки виконання бюджету міської </w:t>
      </w:r>
      <w:r>
        <w:rPr>
          <w:rFonts w:ascii="Times New Roman" w:hAnsi="Times New Roman"/>
          <w:sz w:val="28"/>
          <w:szCs w:val="28"/>
          <w:lang w:eastAsia="ru-RU"/>
        </w:rPr>
        <w:t xml:space="preserve">територіальної громади </w:t>
      </w:r>
      <w:r w:rsidRPr="0070451E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8B50F7">
        <w:rPr>
          <w:rFonts w:ascii="Times New Roman" w:hAnsi="Times New Roman"/>
          <w:sz w:val="28"/>
          <w:szCs w:val="28"/>
          <w:lang w:eastAsia="ru-RU"/>
        </w:rPr>
        <w:t xml:space="preserve">1 квартал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hAnsi="Times New Roman"/>
          <w:sz w:val="28"/>
          <w:szCs w:val="28"/>
          <w:lang w:eastAsia="ru-RU"/>
        </w:rPr>
        <w:t>дох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223F7">
        <w:rPr>
          <w:rFonts w:ascii="Times New Roman" w:hAnsi="Times New Roman"/>
          <w:sz w:val="28"/>
          <w:szCs w:val="28"/>
          <w:lang w:eastAsia="ru-RU"/>
        </w:rPr>
        <w:t>дна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hAnsi="Times New Roman"/>
          <w:sz w:val="28"/>
          <w:szCs w:val="28"/>
          <w:lang w:eastAsia="ru-RU"/>
        </w:rPr>
        <w:t>загально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hAnsi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="008B50F7">
        <w:rPr>
          <w:rFonts w:ascii="Times New Roman" w:hAnsi="Times New Roman"/>
          <w:sz w:val="28"/>
          <w:szCs w:val="28"/>
          <w:lang w:eastAsia="ru-RU"/>
        </w:rPr>
        <w:t>45256,2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23F7"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335BD">
        <w:rPr>
          <w:rFonts w:ascii="Times New Roman" w:hAnsi="Times New Roman"/>
          <w:sz w:val="28"/>
          <w:szCs w:val="28"/>
          <w:lang w:eastAsia="ru-RU"/>
        </w:rPr>
        <w:t>(</w:t>
      </w:r>
      <w:r w:rsidR="008B50F7">
        <w:rPr>
          <w:rFonts w:ascii="Times New Roman" w:hAnsi="Times New Roman"/>
          <w:sz w:val="28"/>
          <w:szCs w:val="28"/>
          <w:lang w:eastAsia="ru-RU"/>
        </w:rPr>
        <w:t>106,7</w:t>
      </w:r>
      <w:r w:rsidR="009E6E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5BD">
        <w:rPr>
          <w:rFonts w:ascii="Times New Roman" w:hAnsi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суму </w:t>
      </w:r>
      <w:r w:rsidR="009E6E5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245D2">
        <w:rPr>
          <w:rFonts w:ascii="Times New Roman" w:hAnsi="Times New Roman"/>
          <w:sz w:val="28"/>
          <w:szCs w:val="28"/>
          <w:lang w:val="ru-RU" w:eastAsia="ru-RU"/>
        </w:rPr>
        <w:t>43069,4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тис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>рн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>. (</w:t>
      </w:r>
      <w:r>
        <w:rPr>
          <w:rFonts w:ascii="Times New Roman" w:hAnsi="Times New Roman"/>
          <w:sz w:val="28"/>
          <w:szCs w:val="28"/>
          <w:lang w:val="ru-RU" w:eastAsia="ru-RU"/>
        </w:rPr>
        <w:t>8</w:t>
      </w:r>
      <w:r w:rsidR="00D245D2">
        <w:rPr>
          <w:rFonts w:ascii="Times New Roman" w:hAnsi="Times New Roman"/>
          <w:sz w:val="28"/>
          <w:szCs w:val="28"/>
          <w:lang w:val="ru-RU" w:eastAsia="ru-RU"/>
        </w:rPr>
        <w:t>0,6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DF64AB" w:rsidRPr="00073F1F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>1 квартал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заробітній платі працівникам бюджетної сфери</w:t>
      </w:r>
      <w:r w:rsidRPr="009D5A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 видатки </w:t>
      </w:r>
      <w:r w:rsidRPr="004F63CB">
        <w:rPr>
          <w:rFonts w:ascii="Times New Roman" w:hAnsi="Times New Roman"/>
          <w:sz w:val="28"/>
          <w:szCs w:val="28"/>
          <w:lang w:eastAsia="ru-RU"/>
        </w:rPr>
        <w:t>за</w:t>
      </w:r>
      <w:r w:rsidRPr="004F63C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120F">
        <w:rPr>
          <w:rFonts w:ascii="Times New Roman" w:hAnsi="Times New Roman"/>
          <w:sz w:val="28"/>
          <w:szCs w:val="28"/>
          <w:lang w:eastAsia="ar-SA"/>
        </w:rPr>
        <w:t>спожиті бюджетними установами енергоносії і комунальні послуги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>, що фінансуються з бюджету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="009E6E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своєчасно та в повному обсязі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Станом на 01.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заборгованість з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виплат по заробітній платі з нарахуваннями працівникам бюджетних установ відсутня.</w:t>
      </w:r>
      <w:r w:rsidRPr="00073F1F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DF64AB" w:rsidRPr="00A64C9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 w:rsidR="001952EE">
        <w:rPr>
          <w:rFonts w:ascii="Times New Roman" w:eastAsia="Times New Roman" w:hAnsi="Times New Roman"/>
          <w:sz w:val="28"/>
          <w:szCs w:val="28"/>
          <w:lang w:eastAsia="ar-SA"/>
        </w:rPr>
        <w:t>1 квартал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952EE">
        <w:rPr>
          <w:rFonts w:ascii="Times New Roman" w:hAnsi="Times New Roman"/>
          <w:sz w:val="28"/>
          <w:szCs w:val="28"/>
          <w:lang w:eastAsia="ru-RU"/>
        </w:rPr>
        <w:t>1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B30A4E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кредиторська заборгованість по загальному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спеціальному 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громади.</w:t>
      </w:r>
      <w:r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Станом на 01 </w:t>
      </w:r>
      <w:r w:rsidR="001952EE">
        <w:rPr>
          <w:rFonts w:ascii="Times New Roman" w:hAnsi="Times New Roman"/>
          <w:sz w:val="28"/>
          <w:szCs w:val="28"/>
          <w:lang w:eastAsia="ar-SA"/>
        </w:rPr>
        <w:t>квіт</w:t>
      </w:r>
      <w:r w:rsidRPr="00A64C9B">
        <w:rPr>
          <w:rFonts w:ascii="Times New Roman" w:hAnsi="Times New Roman"/>
          <w:sz w:val="28"/>
          <w:szCs w:val="28"/>
          <w:lang w:eastAsia="ar-SA"/>
        </w:rPr>
        <w:t>ня 202</w:t>
      </w:r>
      <w:r w:rsidR="001952EE">
        <w:rPr>
          <w:rFonts w:ascii="Times New Roman" w:hAnsi="Times New Roman"/>
          <w:sz w:val="28"/>
          <w:szCs w:val="28"/>
          <w:lang w:eastAsia="ar-SA"/>
        </w:rPr>
        <w:t>1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року існує дебіторська заборгованість  по загальному фонду у сумі </w:t>
      </w:r>
      <w:r w:rsidR="001952EE">
        <w:rPr>
          <w:rFonts w:ascii="Times New Roman" w:hAnsi="Times New Roman"/>
          <w:sz w:val="28"/>
          <w:szCs w:val="28"/>
          <w:lang w:eastAsia="ar-SA"/>
        </w:rPr>
        <w:t>38,5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4C9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4C9B">
        <w:rPr>
          <w:rFonts w:ascii="Times New Roman" w:hAnsi="Times New Roman"/>
          <w:sz w:val="28"/>
          <w:szCs w:val="28"/>
          <w:lang w:eastAsia="ar-SA"/>
        </w:rPr>
        <w:t>., у тому числі: по придбанню предметів, матеріалів, обладнання та інвентарю (передплат</w:t>
      </w:r>
      <w:r w:rsidR="00405C4F">
        <w:rPr>
          <w:rFonts w:ascii="Times New Roman" w:hAnsi="Times New Roman"/>
          <w:sz w:val="28"/>
          <w:szCs w:val="28"/>
          <w:lang w:eastAsia="ar-SA"/>
        </w:rPr>
        <w:t>і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періодичних видань)</w:t>
      </w:r>
      <w:r w:rsidR="001952EE">
        <w:rPr>
          <w:rFonts w:ascii="Times New Roman" w:hAnsi="Times New Roman"/>
          <w:sz w:val="28"/>
          <w:szCs w:val="28"/>
          <w:lang w:eastAsia="ar-SA"/>
        </w:rPr>
        <w:t xml:space="preserve"> – 37,0 </w:t>
      </w:r>
      <w:proofErr w:type="spellStart"/>
      <w:r w:rsidR="001952E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1952EE">
        <w:rPr>
          <w:rFonts w:ascii="Times New Roman" w:hAnsi="Times New Roman"/>
          <w:sz w:val="28"/>
          <w:szCs w:val="28"/>
          <w:lang w:eastAsia="ar-SA"/>
        </w:rPr>
        <w:t>.</w:t>
      </w:r>
      <w:r w:rsidR="00405C4F">
        <w:rPr>
          <w:rFonts w:ascii="Times New Roman" w:hAnsi="Times New Roman"/>
          <w:sz w:val="28"/>
          <w:szCs w:val="28"/>
          <w:lang w:eastAsia="ar-SA"/>
        </w:rPr>
        <w:t xml:space="preserve"> та </w:t>
      </w:r>
      <w:r w:rsidR="005A6C93">
        <w:rPr>
          <w:rFonts w:ascii="Times New Roman" w:hAnsi="Times New Roman"/>
          <w:sz w:val="28"/>
          <w:szCs w:val="28"/>
          <w:lang w:eastAsia="ar-SA"/>
        </w:rPr>
        <w:t>видатках на відрядження (</w:t>
      </w:r>
      <w:r w:rsidR="00405C4F">
        <w:rPr>
          <w:rFonts w:ascii="Times New Roman" w:hAnsi="Times New Roman"/>
          <w:sz w:val="28"/>
          <w:szCs w:val="28"/>
          <w:lang w:eastAsia="ar-SA"/>
        </w:rPr>
        <w:t>виплаті добових витрат</w:t>
      </w:r>
      <w:r w:rsidR="005A6C93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="00405C4F">
        <w:rPr>
          <w:rFonts w:ascii="Times New Roman" w:hAnsi="Times New Roman"/>
          <w:sz w:val="28"/>
          <w:szCs w:val="28"/>
          <w:lang w:eastAsia="ar-SA"/>
        </w:rPr>
        <w:t xml:space="preserve">–  </w:t>
      </w:r>
      <w:r w:rsidR="005A6C93">
        <w:rPr>
          <w:rFonts w:ascii="Times New Roman" w:hAnsi="Times New Roman"/>
          <w:sz w:val="28"/>
          <w:szCs w:val="28"/>
          <w:lang w:eastAsia="ar-SA"/>
        </w:rPr>
        <w:t>1</w:t>
      </w:r>
      <w:r w:rsidR="00405C4F">
        <w:rPr>
          <w:rFonts w:ascii="Times New Roman" w:hAnsi="Times New Roman"/>
          <w:sz w:val="28"/>
          <w:szCs w:val="28"/>
          <w:lang w:eastAsia="ar-SA"/>
        </w:rPr>
        <w:t xml:space="preserve">,5 </w:t>
      </w:r>
      <w:proofErr w:type="spellStart"/>
      <w:r w:rsidR="00405C4F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05C4F">
        <w:rPr>
          <w:rFonts w:ascii="Times New Roman" w:hAnsi="Times New Roman"/>
          <w:sz w:val="28"/>
          <w:szCs w:val="28"/>
          <w:lang w:eastAsia="ar-SA"/>
        </w:rPr>
        <w:t>.</w:t>
      </w:r>
      <w:r w:rsidR="0050522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4C9B">
        <w:rPr>
          <w:rFonts w:ascii="Times New Roman" w:hAnsi="Times New Roman"/>
          <w:sz w:val="28"/>
          <w:szCs w:val="28"/>
          <w:lang w:eastAsia="ar-SA"/>
        </w:rPr>
        <w:t>Також існує дебіторська заборгованість  по</w:t>
      </w:r>
      <w:r w:rsidR="0014662E">
        <w:rPr>
          <w:rFonts w:ascii="Times New Roman" w:hAnsi="Times New Roman"/>
          <w:sz w:val="28"/>
          <w:szCs w:val="28"/>
          <w:lang w:eastAsia="ar-SA"/>
        </w:rPr>
        <w:t xml:space="preserve"> спеціальному фонду у сумі 134,8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4C9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4C9B">
        <w:rPr>
          <w:rFonts w:ascii="Times New Roman" w:hAnsi="Times New Roman"/>
          <w:sz w:val="28"/>
          <w:szCs w:val="28"/>
          <w:lang w:eastAsia="ar-SA"/>
        </w:rPr>
        <w:t>., у тому числі: по придбанню продуктів харчування для закладів освіти.</w:t>
      </w: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66053F" w:rsidP="0066053F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6053F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    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66053F">
        <w:rPr>
          <w:rFonts w:ascii="Times New Roman" w:hAnsi="Times New Roman"/>
          <w:sz w:val="28"/>
          <w:szCs w:val="28"/>
          <w:lang w:eastAsia="ar-SA"/>
        </w:rPr>
        <w:t>А</w:t>
      </w:r>
      <w:r w:rsidR="009E6E55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66053F">
        <w:rPr>
          <w:rFonts w:ascii="Times New Roman" w:hAnsi="Times New Roman"/>
          <w:sz w:val="28"/>
          <w:szCs w:val="28"/>
          <w:lang w:eastAsia="ar-SA"/>
        </w:rPr>
        <w:t>К</w:t>
      </w:r>
      <w:r w:rsidR="009E6E55">
        <w:rPr>
          <w:rFonts w:ascii="Times New Roman" w:hAnsi="Times New Roman"/>
          <w:sz w:val="28"/>
          <w:szCs w:val="28"/>
          <w:lang w:eastAsia="ar-SA"/>
        </w:rPr>
        <w:t>олпак</w:t>
      </w:r>
      <w:proofErr w:type="spellEnd"/>
      <w:r w:rsidRPr="0066053F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DF64AB"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</w:p>
    <w:sectPr w:rsidR="00413DC1" w:rsidSect="00412DDA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2B" w:rsidRDefault="00563F2B" w:rsidP="00A9228A">
      <w:pPr>
        <w:spacing w:after="0" w:line="240" w:lineRule="auto"/>
      </w:pPr>
      <w:r>
        <w:separator/>
      </w:r>
    </w:p>
  </w:endnote>
  <w:endnote w:type="continuationSeparator" w:id="0">
    <w:p w:rsidR="00563F2B" w:rsidRDefault="00563F2B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2B" w:rsidRDefault="00563F2B" w:rsidP="00A9228A">
      <w:pPr>
        <w:spacing w:after="0" w:line="240" w:lineRule="auto"/>
      </w:pPr>
      <w:r>
        <w:separator/>
      </w:r>
    </w:p>
  </w:footnote>
  <w:footnote w:type="continuationSeparator" w:id="0">
    <w:p w:rsidR="00563F2B" w:rsidRDefault="00563F2B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BC7936"/>
    <w:multiLevelType w:val="hybridMultilevel"/>
    <w:tmpl w:val="DE7277E0"/>
    <w:lvl w:ilvl="0" w:tplc="2F2289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581"/>
    <w:rsid w:val="000017B8"/>
    <w:rsid w:val="00001A54"/>
    <w:rsid w:val="00003AE6"/>
    <w:rsid w:val="00006098"/>
    <w:rsid w:val="00006B4A"/>
    <w:rsid w:val="00007543"/>
    <w:rsid w:val="00007617"/>
    <w:rsid w:val="00011C1A"/>
    <w:rsid w:val="00011DDA"/>
    <w:rsid w:val="000120D8"/>
    <w:rsid w:val="0001415E"/>
    <w:rsid w:val="000151F3"/>
    <w:rsid w:val="000177C5"/>
    <w:rsid w:val="0002172C"/>
    <w:rsid w:val="000221CC"/>
    <w:rsid w:val="00023988"/>
    <w:rsid w:val="000242F5"/>
    <w:rsid w:val="00024E91"/>
    <w:rsid w:val="00024F11"/>
    <w:rsid w:val="0002529F"/>
    <w:rsid w:val="00031CDE"/>
    <w:rsid w:val="000325D8"/>
    <w:rsid w:val="00032983"/>
    <w:rsid w:val="00033298"/>
    <w:rsid w:val="00033454"/>
    <w:rsid w:val="00034C85"/>
    <w:rsid w:val="00035968"/>
    <w:rsid w:val="00036055"/>
    <w:rsid w:val="00037EC7"/>
    <w:rsid w:val="0004030B"/>
    <w:rsid w:val="00040E94"/>
    <w:rsid w:val="00041BF6"/>
    <w:rsid w:val="00042DC9"/>
    <w:rsid w:val="00042DE6"/>
    <w:rsid w:val="00045058"/>
    <w:rsid w:val="00045ED8"/>
    <w:rsid w:val="00045F16"/>
    <w:rsid w:val="00047480"/>
    <w:rsid w:val="00047BEF"/>
    <w:rsid w:val="00047F61"/>
    <w:rsid w:val="000507F7"/>
    <w:rsid w:val="00050F87"/>
    <w:rsid w:val="00051B8E"/>
    <w:rsid w:val="00052C4E"/>
    <w:rsid w:val="000544DF"/>
    <w:rsid w:val="00054F19"/>
    <w:rsid w:val="00055843"/>
    <w:rsid w:val="0005715D"/>
    <w:rsid w:val="000577AF"/>
    <w:rsid w:val="00057B28"/>
    <w:rsid w:val="00060045"/>
    <w:rsid w:val="00060785"/>
    <w:rsid w:val="000616C6"/>
    <w:rsid w:val="00061CF1"/>
    <w:rsid w:val="00062E5E"/>
    <w:rsid w:val="00066463"/>
    <w:rsid w:val="00070B66"/>
    <w:rsid w:val="000731E3"/>
    <w:rsid w:val="00073585"/>
    <w:rsid w:val="000736EC"/>
    <w:rsid w:val="0007382F"/>
    <w:rsid w:val="00073F1F"/>
    <w:rsid w:val="00075C7C"/>
    <w:rsid w:val="00077AF7"/>
    <w:rsid w:val="00077BE0"/>
    <w:rsid w:val="00080C0F"/>
    <w:rsid w:val="00080D4C"/>
    <w:rsid w:val="000868CE"/>
    <w:rsid w:val="00087E76"/>
    <w:rsid w:val="000900CA"/>
    <w:rsid w:val="000918D3"/>
    <w:rsid w:val="0009293C"/>
    <w:rsid w:val="00093430"/>
    <w:rsid w:val="00093AD5"/>
    <w:rsid w:val="00094AFA"/>
    <w:rsid w:val="000950DF"/>
    <w:rsid w:val="0009530A"/>
    <w:rsid w:val="000A0EDC"/>
    <w:rsid w:val="000A177F"/>
    <w:rsid w:val="000A1D9E"/>
    <w:rsid w:val="000A27B7"/>
    <w:rsid w:val="000A290B"/>
    <w:rsid w:val="000B64CF"/>
    <w:rsid w:val="000B6E07"/>
    <w:rsid w:val="000C1C52"/>
    <w:rsid w:val="000C1FD8"/>
    <w:rsid w:val="000C23B0"/>
    <w:rsid w:val="000C4DFC"/>
    <w:rsid w:val="000C4FF5"/>
    <w:rsid w:val="000C684D"/>
    <w:rsid w:val="000C76FF"/>
    <w:rsid w:val="000C7F73"/>
    <w:rsid w:val="000D02B4"/>
    <w:rsid w:val="000D05AD"/>
    <w:rsid w:val="000D103D"/>
    <w:rsid w:val="000D4B1F"/>
    <w:rsid w:val="000D64A2"/>
    <w:rsid w:val="000E2D82"/>
    <w:rsid w:val="000E48EF"/>
    <w:rsid w:val="000E4B97"/>
    <w:rsid w:val="000E5E56"/>
    <w:rsid w:val="000E5EFC"/>
    <w:rsid w:val="000E6D40"/>
    <w:rsid w:val="000F04B8"/>
    <w:rsid w:val="000F4575"/>
    <w:rsid w:val="000F68B6"/>
    <w:rsid w:val="000F79CE"/>
    <w:rsid w:val="001002FF"/>
    <w:rsid w:val="00100310"/>
    <w:rsid w:val="00100353"/>
    <w:rsid w:val="00101548"/>
    <w:rsid w:val="0010185B"/>
    <w:rsid w:val="001026B3"/>
    <w:rsid w:val="0010404C"/>
    <w:rsid w:val="00106B77"/>
    <w:rsid w:val="00110664"/>
    <w:rsid w:val="0011207F"/>
    <w:rsid w:val="001124F1"/>
    <w:rsid w:val="00112528"/>
    <w:rsid w:val="00112698"/>
    <w:rsid w:val="00112EB0"/>
    <w:rsid w:val="00114DB4"/>
    <w:rsid w:val="00115626"/>
    <w:rsid w:val="001159FA"/>
    <w:rsid w:val="00117570"/>
    <w:rsid w:val="00120A55"/>
    <w:rsid w:val="00121F72"/>
    <w:rsid w:val="001222CA"/>
    <w:rsid w:val="00122FFE"/>
    <w:rsid w:val="001245FB"/>
    <w:rsid w:val="001253C4"/>
    <w:rsid w:val="001278BD"/>
    <w:rsid w:val="00127949"/>
    <w:rsid w:val="001279AA"/>
    <w:rsid w:val="0013002D"/>
    <w:rsid w:val="0013250D"/>
    <w:rsid w:val="0013268B"/>
    <w:rsid w:val="00132B5A"/>
    <w:rsid w:val="00132FE2"/>
    <w:rsid w:val="001359C1"/>
    <w:rsid w:val="001371FF"/>
    <w:rsid w:val="001407D6"/>
    <w:rsid w:val="001413FC"/>
    <w:rsid w:val="00144370"/>
    <w:rsid w:val="0014662E"/>
    <w:rsid w:val="0014672A"/>
    <w:rsid w:val="0014798A"/>
    <w:rsid w:val="00150837"/>
    <w:rsid w:val="00151680"/>
    <w:rsid w:val="001519A3"/>
    <w:rsid w:val="00153461"/>
    <w:rsid w:val="001541C2"/>
    <w:rsid w:val="00154FA5"/>
    <w:rsid w:val="00156898"/>
    <w:rsid w:val="00156961"/>
    <w:rsid w:val="00157A1F"/>
    <w:rsid w:val="001601F6"/>
    <w:rsid w:val="00161B09"/>
    <w:rsid w:val="00161F54"/>
    <w:rsid w:val="001626EE"/>
    <w:rsid w:val="001635CA"/>
    <w:rsid w:val="001638F5"/>
    <w:rsid w:val="00163DF8"/>
    <w:rsid w:val="001654B5"/>
    <w:rsid w:val="00165795"/>
    <w:rsid w:val="00165EA1"/>
    <w:rsid w:val="00170716"/>
    <w:rsid w:val="00170FCF"/>
    <w:rsid w:val="00173684"/>
    <w:rsid w:val="00176952"/>
    <w:rsid w:val="00177375"/>
    <w:rsid w:val="001775EF"/>
    <w:rsid w:val="00181278"/>
    <w:rsid w:val="00181689"/>
    <w:rsid w:val="001823E1"/>
    <w:rsid w:val="00184F86"/>
    <w:rsid w:val="00185C2E"/>
    <w:rsid w:val="00186EE2"/>
    <w:rsid w:val="00187D67"/>
    <w:rsid w:val="00190F8B"/>
    <w:rsid w:val="001923CB"/>
    <w:rsid w:val="00194E16"/>
    <w:rsid w:val="00195272"/>
    <w:rsid w:val="001952EE"/>
    <w:rsid w:val="001961B8"/>
    <w:rsid w:val="00196B16"/>
    <w:rsid w:val="001A0041"/>
    <w:rsid w:val="001A1556"/>
    <w:rsid w:val="001A1845"/>
    <w:rsid w:val="001A2A8B"/>
    <w:rsid w:val="001A3E44"/>
    <w:rsid w:val="001A4F21"/>
    <w:rsid w:val="001A5A26"/>
    <w:rsid w:val="001A5EAA"/>
    <w:rsid w:val="001A6300"/>
    <w:rsid w:val="001A6758"/>
    <w:rsid w:val="001A6822"/>
    <w:rsid w:val="001A684B"/>
    <w:rsid w:val="001B2A35"/>
    <w:rsid w:val="001B55C2"/>
    <w:rsid w:val="001B7E41"/>
    <w:rsid w:val="001C10A3"/>
    <w:rsid w:val="001C21B6"/>
    <w:rsid w:val="001C2B66"/>
    <w:rsid w:val="001C4096"/>
    <w:rsid w:val="001C4E02"/>
    <w:rsid w:val="001C7B00"/>
    <w:rsid w:val="001D177A"/>
    <w:rsid w:val="001D51A8"/>
    <w:rsid w:val="001D69D3"/>
    <w:rsid w:val="001D6DE6"/>
    <w:rsid w:val="001E3809"/>
    <w:rsid w:val="001E41BF"/>
    <w:rsid w:val="001E4CE0"/>
    <w:rsid w:val="001E7280"/>
    <w:rsid w:val="001E758A"/>
    <w:rsid w:val="001E79E8"/>
    <w:rsid w:val="001E7ACA"/>
    <w:rsid w:val="001F0078"/>
    <w:rsid w:val="001F10FC"/>
    <w:rsid w:val="001F1CB8"/>
    <w:rsid w:val="001F20EE"/>
    <w:rsid w:val="001F2E16"/>
    <w:rsid w:val="001F3AD2"/>
    <w:rsid w:val="001F3B86"/>
    <w:rsid w:val="001F40E7"/>
    <w:rsid w:val="001F4BC6"/>
    <w:rsid w:val="001F570F"/>
    <w:rsid w:val="001F608B"/>
    <w:rsid w:val="001F7589"/>
    <w:rsid w:val="00201E60"/>
    <w:rsid w:val="00201F39"/>
    <w:rsid w:val="0020438F"/>
    <w:rsid w:val="00205A15"/>
    <w:rsid w:val="00206701"/>
    <w:rsid w:val="00206DAD"/>
    <w:rsid w:val="00211638"/>
    <w:rsid w:val="00214D1E"/>
    <w:rsid w:val="00221F3B"/>
    <w:rsid w:val="0022220E"/>
    <w:rsid w:val="0022261A"/>
    <w:rsid w:val="002234BD"/>
    <w:rsid w:val="00225B1D"/>
    <w:rsid w:val="00227A09"/>
    <w:rsid w:val="0023230B"/>
    <w:rsid w:val="00235D31"/>
    <w:rsid w:val="00235F05"/>
    <w:rsid w:val="0023669E"/>
    <w:rsid w:val="002370D6"/>
    <w:rsid w:val="00237C1D"/>
    <w:rsid w:val="00240D30"/>
    <w:rsid w:val="002422D4"/>
    <w:rsid w:val="002506E8"/>
    <w:rsid w:val="00250A2F"/>
    <w:rsid w:val="00253A62"/>
    <w:rsid w:val="00253AA7"/>
    <w:rsid w:val="002560E2"/>
    <w:rsid w:val="00257082"/>
    <w:rsid w:val="00260979"/>
    <w:rsid w:val="00261DDE"/>
    <w:rsid w:val="00262896"/>
    <w:rsid w:val="00264002"/>
    <w:rsid w:val="002660D0"/>
    <w:rsid w:val="00267419"/>
    <w:rsid w:val="00267BAA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12BB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48B8"/>
    <w:rsid w:val="002A649E"/>
    <w:rsid w:val="002A679D"/>
    <w:rsid w:val="002B125C"/>
    <w:rsid w:val="002B15C0"/>
    <w:rsid w:val="002B2136"/>
    <w:rsid w:val="002B45E1"/>
    <w:rsid w:val="002B4AE0"/>
    <w:rsid w:val="002B57C9"/>
    <w:rsid w:val="002B7DCF"/>
    <w:rsid w:val="002C12F8"/>
    <w:rsid w:val="002C1689"/>
    <w:rsid w:val="002C1715"/>
    <w:rsid w:val="002C181B"/>
    <w:rsid w:val="002C22CD"/>
    <w:rsid w:val="002C3245"/>
    <w:rsid w:val="002C477F"/>
    <w:rsid w:val="002C746B"/>
    <w:rsid w:val="002C7D02"/>
    <w:rsid w:val="002D16B2"/>
    <w:rsid w:val="002D16FB"/>
    <w:rsid w:val="002D1F9D"/>
    <w:rsid w:val="002D391B"/>
    <w:rsid w:val="002D4FBD"/>
    <w:rsid w:val="002E00D5"/>
    <w:rsid w:val="002E04A9"/>
    <w:rsid w:val="002E352A"/>
    <w:rsid w:val="002E500E"/>
    <w:rsid w:val="002E54DA"/>
    <w:rsid w:val="002F1D23"/>
    <w:rsid w:val="002F69C8"/>
    <w:rsid w:val="002F6A0A"/>
    <w:rsid w:val="002F6DD0"/>
    <w:rsid w:val="002F74F8"/>
    <w:rsid w:val="00300272"/>
    <w:rsid w:val="003013E9"/>
    <w:rsid w:val="0030165E"/>
    <w:rsid w:val="0030204D"/>
    <w:rsid w:val="00304137"/>
    <w:rsid w:val="00307B35"/>
    <w:rsid w:val="00311982"/>
    <w:rsid w:val="00311983"/>
    <w:rsid w:val="003120DD"/>
    <w:rsid w:val="00312174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6DBA"/>
    <w:rsid w:val="00327AF7"/>
    <w:rsid w:val="00332998"/>
    <w:rsid w:val="0033364E"/>
    <w:rsid w:val="003338C6"/>
    <w:rsid w:val="00334E48"/>
    <w:rsid w:val="00336319"/>
    <w:rsid w:val="00336AE7"/>
    <w:rsid w:val="00340164"/>
    <w:rsid w:val="00340FAF"/>
    <w:rsid w:val="00341050"/>
    <w:rsid w:val="00341B4A"/>
    <w:rsid w:val="00342928"/>
    <w:rsid w:val="00345452"/>
    <w:rsid w:val="00346214"/>
    <w:rsid w:val="0034731A"/>
    <w:rsid w:val="00351367"/>
    <w:rsid w:val="00351B3C"/>
    <w:rsid w:val="00356D25"/>
    <w:rsid w:val="003575FE"/>
    <w:rsid w:val="00360D14"/>
    <w:rsid w:val="00360EB5"/>
    <w:rsid w:val="0036356D"/>
    <w:rsid w:val="00363982"/>
    <w:rsid w:val="003649ED"/>
    <w:rsid w:val="003703E8"/>
    <w:rsid w:val="003716F4"/>
    <w:rsid w:val="00371B36"/>
    <w:rsid w:val="00374D74"/>
    <w:rsid w:val="0037589F"/>
    <w:rsid w:val="00377513"/>
    <w:rsid w:val="00382723"/>
    <w:rsid w:val="0038314E"/>
    <w:rsid w:val="00383265"/>
    <w:rsid w:val="00383492"/>
    <w:rsid w:val="00385213"/>
    <w:rsid w:val="003852F4"/>
    <w:rsid w:val="003867EA"/>
    <w:rsid w:val="00391602"/>
    <w:rsid w:val="00393504"/>
    <w:rsid w:val="00393CF7"/>
    <w:rsid w:val="003968FA"/>
    <w:rsid w:val="00397891"/>
    <w:rsid w:val="003A15FE"/>
    <w:rsid w:val="003A1627"/>
    <w:rsid w:val="003A174C"/>
    <w:rsid w:val="003A6285"/>
    <w:rsid w:val="003B1647"/>
    <w:rsid w:val="003B1D71"/>
    <w:rsid w:val="003B333C"/>
    <w:rsid w:val="003B44BE"/>
    <w:rsid w:val="003B4ADC"/>
    <w:rsid w:val="003B7105"/>
    <w:rsid w:val="003B718F"/>
    <w:rsid w:val="003B740B"/>
    <w:rsid w:val="003B7443"/>
    <w:rsid w:val="003B76E2"/>
    <w:rsid w:val="003C1348"/>
    <w:rsid w:val="003C151B"/>
    <w:rsid w:val="003C1F35"/>
    <w:rsid w:val="003C3C73"/>
    <w:rsid w:val="003C42CA"/>
    <w:rsid w:val="003C7C18"/>
    <w:rsid w:val="003D1DCD"/>
    <w:rsid w:val="003D23F3"/>
    <w:rsid w:val="003D43C8"/>
    <w:rsid w:val="003D52A5"/>
    <w:rsid w:val="003D6856"/>
    <w:rsid w:val="003D6EF3"/>
    <w:rsid w:val="003E038D"/>
    <w:rsid w:val="003E17F4"/>
    <w:rsid w:val="003E2BB4"/>
    <w:rsid w:val="003E3AC4"/>
    <w:rsid w:val="003E405E"/>
    <w:rsid w:val="003E596D"/>
    <w:rsid w:val="003E733D"/>
    <w:rsid w:val="003E78A6"/>
    <w:rsid w:val="003E797C"/>
    <w:rsid w:val="003F10AD"/>
    <w:rsid w:val="003F1AE5"/>
    <w:rsid w:val="003F4615"/>
    <w:rsid w:val="003F48F5"/>
    <w:rsid w:val="003F4F62"/>
    <w:rsid w:val="003F71B1"/>
    <w:rsid w:val="0040517C"/>
    <w:rsid w:val="00405C4F"/>
    <w:rsid w:val="00410617"/>
    <w:rsid w:val="00410747"/>
    <w:rsid w:val="004115BB"/>
    <w:rsid w:val="00411FC5"/>
    <w:rsid w:val="00412DDA"/>
    <w:rsid w:val="00413175"/>
    <w:rsid w:val="00413A93"/>
    <w:rsid w:val="00413B3A"/>
    <w:rsid w:val="00413DC1"/>
    <w:rsid w:val="00415105"/>
    <w:rsid w:val="00415D66"/>
    <w:rsid w:val="00415DAF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37C09"/>
    <w:rsid w:val="0044120F"/>
    <w:rsid w:val="00443232"/>
    <w:rsid w:val="004432A4"/>
    <w:rsid w:val="00443AB0"/>
    <w:rsid w:val="00443EE9"/>
    <w:rsid w:val="00444A7A"/>
    <w:rsid w:val="00444B9C"/>
    <w:rsid w:val="00450FEF"/>
    <w:rsid w:val="0045127F"/>
    <w:rsid w:val="00454CF6"/>
    <w:rsid w:val="00457473"/>
    <w:rsid w:val="004575B4"/>
    <w:rsid w:val="004602CC"/>
    <w:rsid w:val="004603AA"/>
    <w:rsid w:val="004617A8"/>
    <w:rsid w:val="00462748"/>
    <w:rsid w:val="004636D9"/>
    <w:rsid w:val="00463965"/>
    <w:rsid w:val="00463F7C"/>
    <w:rsid w:val="004658C1"/>
    <w:rsid w:val="004664DE"/>
    <w:rsid w:val="00466A43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85D77"/>
    <w:rsid w:val="00487BCF"/>
    <w:rsid w:val="0049048A"/>
    <w:rsid w:val="00490EBE"/>
    <w:rsid w:val="0049137A"/>
    <w:rsid w:val="00491ED7"/>
    <w:rsid w:val="00492516"/>
    <w:rsid w:val="0049379A"/>
    <w:rsid w:val="00493C47"/>
    <w:rsid w:val="00493F2C"/>
    <w:rsid w:val="00496282"/>
    <w:rsid w:val="004A1FCC"/>
    <w:rsid w:val="004A331F"/>
    <w:rsid w:val="004A394F"/>
    <w:rsid w:val="004A3F0A"/>
    <w:rsid w:val="004A59D8"/>
    <w:rsid w:val="004A6D23"/>
    <w:rsid w:val="004A7491"/>
    <w:rsid w:val="004B5DF9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29C1"/>
    <w:rsid w:val="004D4F9E"/>
    <w:rsid w:val="004D5134"/>
    <w:rsid w:val="004E1C95"/>
    <w:rsid w:val="004E3DBD"/>
    <w:rsid w:val="004E3F5A"/>
    <w:rsid w:val="004E5083"/>
    <w:rsid w:val="004E538D"/>
    <w:rsid w:val="004E7564"/>
    <w:rsid w:val="004E7CD5"/>
    <w:rsid w:val="004F04AE"/>
    <w:rsid w:val="004F2444"/>
    <w:rsid w:val="004F5277"/>
    <w:rsid w:val="004F63CB"/>
    <w:rsid w:val="004F7C1A"/>
    <w:rsid w:val="0050003E"/>
    <w:rsid w:val="00502F1A"/>
    <w:rsid w:val="00503382"/>
    <w:rsid w:val="005040C7"/>
    <w:rsid w:val="005050DB"/>
    <w:rsid w:val="00505222"/>
    <w:rsid w:val="00507436"/>
    <w:rsid w:val="00507F67"/>
    <w:rsid w:val="005100AC"/>
    <w:rsid w:val="005116A7"/>
    <w:rsid w:val="00511ABD"/>
    <w:rsid w:val="00512403"/>
    <w:rsid w:val="00512F59"/>
    <w:rsid w:val="00514014"/>
    <w:rsid w:val="0051456E"/>
    <w:rsid w:val="00515690"/>
    <w:rsid w:val="0051615D"/>
    <w:rsid w:val="005164BA"/>
    <w:rsid w:val="0051727F"/>
    <w:rsid w:val="00521A65"/>
    <w:rsid w:val="00522A5D"/>
    <w:rsid w:val="005257EE"/>
    <w:rsid w:val="00525A9F"/>
    <w:rsid w:val="0052734E"/>
    <w:rsid w:val="00527369"/>
    <w:rsid w:val="005313B6"/>
    <w:rsid w:val="00532DC5"/>
    <w:rsid w:val="00535BC6"/>
    <w:rsid w:val="00536ED1"/>
    <w:rsid w:val="0053701D"/>
    <w:rsid w:val="0054502F"/>
    <w:rsid w:val="00545235"/>
    <w:rsid w:val="005468A4"/>
    <w:rsid w:val="005473C1"/>
    <w:rsid w:val="005502F0"/>
    <w:rsid w:val="005503F2"/>
    <w:rsid w:val="005508F7"/>
    <w:rsid w:val="00551985"/>
    <w:rsid w:val="005526CB"/>
    <w:rsid w:val="00554210"/>
    <w:rsid w:val="005554FD"/>
    <w:rsid w:val="00555943"/>
    <w:rsid w:val="00556A89"/>
    <w:rsid w:val="00560973"/>
    <w:rsid w:val="005611C0"/>
    <w:rsid w:val="005614D9"/>
    <w:rsid w:val="0056240D"/>
    <w:rsid w:val="005637B3"/>
    <w:rsid w:val="00563F2B"/>
    <w:rsid w:val="00565D2D"/>
    <w:rsid w:val="00567297"/>
    <w:rsid w:val="00570B18"/>
    <w:rsid w:val="00570D61"/>
    <w:rsid w:val="00572A8E"/>
    <w:rsid w:val="00574403"/>
    <w:rsid w:val="005744A6"/>
    <w:rsid w:val="0057558B"/>
    <w:rsid w:val="00575A00"/>
    <w:rsid w:val="0057645D"/>
    <w:rsid w:val="00576523"/>
    <w:rsid w:val="00580CCB"/>
    <w:rsid w:val="005814EB"/>
    <w:rsid w:val="005836F7"/>
    <w:rsid w:val="00583754"/>
    <w:rsid w:val="005845E5"/>
    <w:rsid w:val="00585205"/>
    <w:rsid w:val="005866A0"/>
    <w:rsid w:val="00586CFD"/>
    <w:rsid w:val="005902EE"/>
    <w:rsid w:val="00590556"/>
    <w:rsid w:val="00592001"/>
    <w:rsid w:val="00592E2C"/>
    <w:rsid w:val="005949F0"/>
    <w:rsid w:val="0059771D"/>
    <w:rsid w:val="005A0B8E"/>
    <w:rsid w:val="005A19EC"/>
    <w:rsid w:val="005A252B"/>
    <w:rsid w:val="005A6C93"/>
    <w:rsid w:val="005B028C"/>
    <w:rsid w:val="005B1870"/>
    <w:rsid w:val="005B2A58"/>
    <w:rsid w:val="005B31BD"/>
    <w:rsid w:val="005B35D0"/>
    <w:rsid w:val="005B56A4"/>
    <w:rsid w:val="005B67A4"/>
    <w:rsid w:val="005C0AEE"/>
    <w:rsid w:val="005C152B"/>
    <w:rsid w:val="005C3EFC"/>
    <w:rsid w:val="005C4007"/>
    <w:rsid w:val="005C5085"/>
    <w:rsid w:val="005C633C"/>
    <w:rsid w:val="005C790E"/>
    <w:rsid w:val="005D2EAB"/>
    <w:rsid w:val="005D47D7"/>
    <w:rsid w:val="005E29AC"/>
    <w:rsid w:val="005E312C"/>
    <w:rsid w:val="005E37EF"/>
    <w:rsid w:val="005E4D92"/>
    <w:rsid w:val="005F0201"/>
    <w:rsid w:val="005F0BE4"/>
    <w:rsid w:val="005F302D"/>
    <w:rsid w:val="005F30A2"/>
    <w:rsid w:val="005F3914"/>
    <w:rsid w:val="005F54CD"/>
    <w:rsid w:val="005F59C2"/>
    <w:rsid w:val="005F604E"/>
    <w:rsid w:val="005F6662"/>
    <w:rsid w:val="00600832"/>
    <w:rsid w:val="006025F3"/>
    <w:rsid w:val="00602FF6"/>
    <w:rsid w:val="00605301"/>
    <w:rsid w:val="006114A4"/>
    <w:rsid w:val="00611A52"/>
    <w:rsid w:val="00611AE5"/>
    <w:rsid w:val="006130A4"/>
    <w:rsid w:val="00614358"/>
    <w:rsid w:val="00614903"/>
    <w:rsid w:val="006177AD"/>
    <w:rsid w:val="00617F58"/>
    <w:rsid w:val="006214A8"/>
    <w:rsid w:val="00622B8D"/>
    <w:rsid w:val="006303C2"/>
    <w:rsid w:val="0063240B"/>
    <w:rsid w:val="006347E2"/>
    <w:rsid w:val="00635640"/>
    <w:rsid w:val="00635726"/>
    <w:rsid w:val="00636462"/>
    <w:rsid w:val="00636781"/>
    <w:rsid w:val="00636AA4"/>
    <w:rsid w:val="006400DC"/>
    <w:rsid w:val="00647187"/>
    <w:rsid w:val="006510C4"/>
    <w:rsid w:val="00651CEB"/>
    <w:rsid w:val="00651F35"/>
    <w:rsid w:val="006521BB"/>
    <w:rsid w:val="0065372D"/>
    <w:rsid w:val="0066053F"/>
    <w:rsid w:val="006607B6"/>
    <w:rsid w:val="00660A50"/>
    <w:rsid w:val="006651DC"/>
    <w:rsid w:val="006668B4"/>
    <w:rsid w:val="006669AA"/>
    <w:rsid w:val="0067036A"/>
    <w:rsid w:val="0067088C"/>
    <w:rsid w:val="00670F42"/>
    <w:rsid w:val="006734BA"/>
    <w:rsid w:val="00673AA9"/>
    <w:rsid w:val="0067410B"/>
    <w:rsid w:val="00674CCA"/>
    <w:rsid w:val="006750D1"/>
    <w:rsid w:val="006779FA"/>
    <w:rsid w:val="00680611"/>
    <w:rsid w:val="00682DB4"/>
    <w:rsid w:val="006830BE"/>
    <w:rsid w:val="00683C0F"/>
    <w:rsid w:val="006868E5"/>
    <w:rsid w:val="00686D3B"/>
    <w:rsid w:val="00690296"/>
    <w:rsid w:val="00694224"/>
    <w:rsid w:val="00695342"/>
    <w:rsid w:val="006A159D"/>
    <w:rsid w:val="006A3B70"/>
    <w:rsid w:val="006A4F6C"/>
    <w:rsid w:val="006A52BF"/>
    <w:rsid w:val="006A57B6"/>
    <w:rsid w:val="006A60A4"/>
    <w:rsid w:val="006A7DEC"/>
    <w:rsid w:val="006B010F"/>
    <w:rsid w:val="006B2F2E"/>
    <w:rsid w:val="006B3C22"/>
    <w:rsid w:val="006B6C19"/>
    <w:rsid w:val="006B74C1"/>
    <w:rsid w:val="006C03ED"/>
    <w:rsid w:val="006C06A6"/>
    <w:rsid w:val="006C2BD1"/>
    <w:rsid w:val="006C325F"/>
    <w:rsid w:val="006C46B3"/>
    <w:rsid w:val="006C6B85"/>
    <w:rsid w:val="006D11C3"/>
    <w:rsid w:val="006D155B"/>
    <w:rsid w:val="006D18B8"/>
    <w:rsid w:val="006D195B"/>
    <w:rsid w:val="006D2A60"/>
    <w:rsid w:val="006D454C"/>
    <w:rsid w:val="006D724B"/>
    <w:rsid w:val="006D7761"/>
    <w:rsid w:val="006E00EE"/>
    <w:rsid w:val="006E0C59"/>
    <w:rsid w:val="006E1596"/>
    <w:rsid w:val="006E2C59"/>
    <w:rsid w:val="006E349F"/>
    <w:rsid w:val="006E4D01"/>
    <w:rsid w:val="006E53BE"/>
    <w:rsid w:val="006E5A0F"/>
    <w:rsid w:val="006E6129"/>
    <w:rsid w:val="006F278B"/>
    <w:rsid w:val="006F3D22"/>
    <w:rsid w:val="006F4AB9"/>
    <w:rsid w:val="006F6015"/>
    <w:rsid w:val="006F7FAB"/>
    <w:rsid w:val="0070032C"/>
    <w:rsid w:val="007026B3"/>
    <w:rsid w:val="00703B03"/>
    <w:rsid w:val="00704178"/>
    <w:rsid w:val="0070451E"/>
    <w:rsid w:val="00704EA4"/>
    <w:rsid w:val="00705167"/>
    <w:rsid w:val="00705642"/>
    <w:rsid w:val="007100AC"/>
    <w:rsid w:val="00710131"/>
    <w:rsid w:val="007106AB"/>
    <w:rsid w:val="007114F6"/>
    <w:rsid w:val="00714882"/>
    <w:rsid w:val="00714945"/>
    <w:rsid w:val="00716FA3"/>
    <w:rsid w:val="0071704E"/>
    <w:rsid w:val="007174AE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0F"/>
    <w:rsid w:val="00733741"/>
    <w:rsid w:val="00734841"/>
    <w:rsid w:val="00734DDC"/>
    <w:rsid w:val="00736A9F"/>
    <w:rsid w:val="00737790"/>
    <w:rsid w:val="00740656"/>
    <w:rsid w:val="0074071B"/>
    <w:rsid w:val="00741C1A"/>
    <w:rsid w:val="00743426"/>
    <w:rsid w:val="00743C9E"/>
    <w:rsid w:val="007442DE"/>
    <w:rsid w:val="00754633"/>
    <w:rsid w:val="007549D3"/>
    <w:rsid w:val="007559FE"/>
    <w:rsid w:val="007565C8"/>
    <w:rsid w:val="00757AED"/>
    <w:rsid w:val="0076143F"/>
    <w:rsid w:val="00761DFC"/>
    <w:rsid w:val="007629B8"/>
    <w:rsid w:val="0076482E"/>
    <w:rsid w:val="00766F2E"/>
    <w:rsid w:val="00767449"/>
    <w:rsid w:val="00772B0B"/>
    <w:rsid w:val="007730D0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8AF"/>
    <w:rsid w:val="007869FB"/>
    <w:rsid w:val="00786F9B"/>
    <w:rsid w:val="007872BB"/>
    <w:rsid w:val="0079005B"/>
    <w:rsid w:val="00790F63"/>
    <w:rsid w:val="0079157A"/>
    <w:rsid w:val="00792B87"/>
    <w:rsid w:val="00794928"/>
    <w:rsid w:val="00795927"/>
    <w:rsid w:val="00796340"/>
    <w:rsid w:val="00796C00"/>
    <w:rsid w:val="00797142"/>
    <w:rsid w:val="00797740"/>
    <w:rsid w:val="007A00A6"/>
    <w:rsid w:val="007A137D"/>
    <w:rsid w:val="007A3A13"/>
    <w:rsid w:val="007A3ECA"/>
    <w:rsid w:val="007A424E"/>
    <w:rsid w:val="007A706F"/>
    <w:rsid w:val="007B00E2"/>
    <w:rsid w:val="007B0D28"/>
    <w:rsid w:val="007B4F85"/>
    <w:rsid w:val="007B543D"/>
    <w:rsid w:val="007B6288"/>
    <w:rsid w:val="007B6828"/>
    <w:rsid w:val="007C04B9"/>
    <w:rsid w:val="007C29CF"/>
    <w:rsid w:val="007C3950"/>
    <w:rsid w:val="007C4BD5"/>
    <w:rsid w:val="007C58A0"/>
    <w:rsid w:val="007C5AAE"/>
    <w:rsid w:val="007C6102"/>
    <w:rsid w:val="007C6401"/>
    <w:rsid w:val="007C6657"/>
    <w:rsid w:val="007D2475"/>
    <w:rsid w:val="007D2F9D"/>
    <w:rsid w:val="007D3AA7"/>
    <w:rsid w:val="007D3DDB"/>
    <w:rsid w:val="007D41B7"/>
    <w:rsid w:val="007D7A4A"/>
    <w:rsid w:val="007E0995"/>
    <w:rsid w:val="007E1560"/>
    <w:rsid w:val="007E5262"/>
    <w:rsid w:val="007E5A99"/>
    <w:rsid w:val="007E645A"/>
    <w:rsid w:val="007E7863"/>
    <w:rsid w:val="007F02DA"/>
    <w:rsid w:val="007F1251"/>
    <w:rsid w:val="007F1BE5"/>
    <w:rsid w:val="007F24F7"/>
    <w:rsid w:val="007F2A9B"/>
    <w:rsid w:val="007F3B47"/>
    <w:rsid w:val="007F4077"/>
    <w:rsid w:val="007F47BC"/>
    <w:rsid w:val="007F5025"/>
    <w:rsid w:val="007F77EA"/>
    <w:rsid w:val="00801F35"/>
    <w:rsid w:val="00802C72"/>
    <w:rsid w:val="00804151"/>
    <w:rsid w:val="00804CF9"/>
    <w:rsid w:val="00805582"/>
    <w:rsid w:val="00805CF9"/>
    <w:rsid w:val="00806B8F"/>
    <w:rsid w:val="00806F89"/>
    <w:rsid w:val="0080703F"/>
    <w:rsid w:val="00811A30"/>
    <w:rsid w:val="00811F83"/>
    <w:rsid w:val="00812927"/>
    <w:rsid w:val="00812D59"/>
    <w:rsid w:val="008130EF"/>
    <w:rsid w:val="00813C35"/>
    <w:rsid w:val="00813D8B"/>
    <w:rsid w:val="008148AB"/>
    <w:rsid w:val="00814E89"/>
    <w:rsid w:val="00815205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5073"/>
    <w:rsid w:val="00826F5F"/>
    <w:rsid w:val="008301DD"/>
    <w:rsid w:val="008309EA"/>
    <w:rsid w:val="008327EE"/>
    <w:rsid w:val="0083385F"/>
    <w:rsid w:val="00836039"/>
    <w:rsid w:val="0083687C"/>
    <w:rsid w:val="00837729"/>
    <w:rsid w:val="008403F9"/>
    <w:rsid w:val="00840CD7"/>
    <w:rsid w:val="00841CAA"/>
    <w:rsid w:val="008463B3"/>
    <w:rsid w:val="0084648F"/>
    <w:rsid w:val="00846C21"/>
    <w:rsid w:val="00847475"/>
    <w:rsid w:val="008477F8"/>
    <w:rsid w:val="0085007A"/>
    <w:rsid w:val="008502E9"/>
    <w:rsid w:val="0085116D"/>
    <w:rsid w:val="00852F90"/>
    <w:rsid w:val="00853C27"/>
    <w:rsid w:val="008551ED"/>
    <w:rsid w:val="00855F14"/>
    <w:rsid w:val="00856EFF"/>
    <w:rsid w:val="00856F90"/>
    <w:rsid w:val="00857918"/>
    <w:rsid w:val="0086027F"/>
    <w:rsid w:val="00860D15"/>
    <w:rsid w:val="00862F0C"/>
    <w:rsid w:val="008637C5"/>
    <w:rsid w:val="00865F73"/>
    <w:rsid w:val="00866253"/>
    <w:rsid w:val="00870D4B"/>
    <w:rsid w:val="00871579"/>
    <w:rsid w:val="00872D9D"/>
    <w:rsid w:val="00873541"/>
    <w:rsid w:val="00874368"/>
    <w:rsid w:val="00875BAD"/>
    <w:rsid w:val="00876338"/>
    <w:rsid w:val="00876BBE"/>
    <w:rsid w:val="00881D6B"/>
    <w:rsid w:val="00882A06"/>
    <w:rsid w:val="00885839"/>
    <w:rsid w:val="0088642F"/>
    <w:rsid w:val="00892BD6"/>
    <w:rsid w:val="00893679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A3C"/>
    <w:rsid w:val="008B1EA9"/>
    <w:rsid w:val="008B50F7"/>
    <w:rsid w:val="008B5911"/>
    <w:rsid w:val="008B5E57"/>
    <w:rsid w:val="008B5F19"/>
    <w:rsid w:val="008B72BD"/>
    <w:rsid w:val="008C2E19"/>
    <w:rsid w:val="008C31F0"/>
    <w:rsid w:val="008C3539"/>
    <w:rsid w:val="008C5EF1"/>
    <w:rsid w:val="008C5FBF"/>
    <w:rsid w:val="008C6F25"/>
    <w:rsid w:val="008D02B8"/>
    <w:rsid w:val="008D0E47"/>
    <w:rsid w:val="008D1815"/>
    <w:rsid w:val="008D2711"/>
    <w:rsid w:val="008D2DA1"/>
    <w:rsid w:val="008D316D"/>
    <w:rsid w:val="008D4949"/>
    <w:rsid w:val="008D4FA7"/>
    <w:rsid w:val="008D5551"/>
    <w:rsid w:val="008D6055"/>
    <w:rsid w:val="008D7199"/>
    <w:rsid w:val="008E0646"/>
    <w:rsid w:val="008E1E69"/>
    <w:rsid w:val="008E207E"/>
    <w:rsid w:val="008E4505"/>
    <w:rsid w:val="008F2CD9"/>
    <w:rsid w:val="008F3210"/>
    <w:rsid w:val="008F4C14"/>
    <w:rsid w:val="008F54C9"/>
    <w:rsid w:val="008F5DAB"/>
    <w:rsid w:val="008F6448"/>
    <w:rsid w:val="008F6F2B"/>
    <w:rsid w:val="008F7080"/>
    <w:rsid w:val="008F708A"/>
    <w:rsid w:val="009001A8"/>
    <w:rsid w:val="009023DE"/>
    <w:rsid w:val="009033B2"/>
    <w:rsid w:val="00904765"/>
    <w:rsid w:val="009054B0"/>
    <w:rsid w:val="00906074"/>
    <w:rsid w:val="00906F74"/>
    <w:rsid w:val="009100BE"/>
    <w:rsid w:val="0091039F"/>
    <w:rsid w:val="009127A1"/>
    <w:rsid w:val="00913E34"/>
    <w:rsid w:val="009142A9"/>
    <w:rsid w:val="009153EB"/>
    <w:rsid w:val="009214B7"/>
    <w:rsid w:val="00921604"/>
    <w:rsid w:val="009226B1"/>
    <w:rsid w:val="00924965"/>
    <w:rsid w:val="009250F3"/>
    <w:rsid w:val="00926F4A"/>
    <w:rsid w:val="009307BB"/>
    <w:rsid w:val="00930C35"/>
    <w:rsid w:val="0093105A"/>
    <w:rsid w:val="009315F7"/>
    <w:rsid w:val="00932EB9"/>
    <w:rsid w:val="00933027"/>
    <w:rsid w:val="00933BF9"/>
    <w:rsid w:val="00935539"/>
    <w:rsid w:val="009355E0"/>
    <w:rsid w:val="00935F87"/>
    <w:rsid w:val="009363E4"/>
    <w:rsid w:val="00940382"/>
    <w:rsid w:val="0094056C"/>
    <w:rsid w:val="00945548"/>
    <w:rsid w:val="0094612E"/>
    <w:rsid w:val="009470EE"/>
    <w:rsid w:val="0094728F"/>
    <w:rsid w:val="009518E4"/>
    <w:rsid w:val="00952B35"/>
    <w:rsid w:val="009534C7"/>
    <w:rsid w:val="009566BD"/>
    <w:rsid w:val="00956FA3"/>
    <w:rsid w:val="0096052B"/>
    <w:rsid w:val="0096244E"/>
    <w:rsid w:val="0096296A"/>
    <w:rsid w:val="0096318E"/>
    <w:rsid w:val="00963F69"/>
    <w:rsid w:val="0096483D"/>
    <w:rsid w:val="009658BF"/>
    <w:rsid w:val="00965B85"/>
    <w:rsid w:val="009665EF"/>
    <w:rsid w:val="00973183"/>
    <w:rsid w:val="00973592"/>
    <w:rsid w:val="00973FCC"/>
    <w:rsid w:val="00974C74"/>
    <w:rsid w:val="009758C0"/>
    <w:rsid w:val="009760BF"/>
    <w:rsid w:val="0097723C"/>
    <w:rsid w:val="009808DD"/>
    <w:rsid w:val="009808FA"/>
    <w:rsid w:val="00982F19"/>
    <w:rsid w:val="0098361D"/>
    <w:rsid w:val="00983961"/>
    <w:rsid w:val="00987029"/>
    <w:rsid w:val="009870DD"/>
    <w:rsid w:val="00987BE2"/>
    <w:rsid w:val="009901A2"/>
    <w:rsid w:val="00991042"/>
    <w:rsid w:val="00991906"/>
    <w:rsid w:val="009919C9"/>
    <w:rsid w:val="00992554"/>
    <w:rsid w:val="00992920"/>
    <w:rsid w:val="00994DA0"/>
    <w:rsid w:val="00994F55"/>
    <w:rsid w:val="0099505C"/>
    <w:rsid w:val="00995AFE"/>
    <w:rsid w:val="00996F3E"/>
    <w:rsid w:val="00997E04"/>
    <w:rsid w:val="009A0E60"/>
    <w:rsid w:val="009A15B9"/>
    <w:rsid w:val="009A2CBC"/>
    <w:rsid w:val="009A325D"/>
    <w:rsid w:val="009A37C5"/>
    <w:rsid w:val="009A6042"/>
    <w:rsid w:val="009A6872"/>
    <w:rsid w:val="009A6A86"/>
    <w:rsid w:val="009A76D0"/>
    <w:rsid w:val="009A7D6D"/>
    <w:rsid w:val="009A7F60"/>
    <w:rsid w:val="009B0390"/>
    <w:rsid w:val="009B0FF5"/>
    <w:rsid w:val="009B1FB1"/>
    <w:rsid w:val="009B3902"/>
    <w:rsid w:val="009B39F5"/>
    <w:rsid w:val="009B4A15"/>
    <w:rsid w:val="009B4D8F"/>
    <w:rsid w:val="009B57CF"/>
    <w:rsid w:val="009C1132"/>
    <w:rsid w:val="009C1D10"/>
    <w:rsid w:val="009D137A"/>
    <w:rsid w:val="009D14B3"/>
    <w:rsid w:val="009D2D81"/>
    <w:rsid w:val="009D35CC"/>
    <w:rsid w:val="009D40AC"/>
    <w:rsid w:val="009D4B68"/>
    <w:rsid w:val="009D5A9F"/>
    <w:rsid w:val="009E07C0"/>
    <w:rsid w:val="009E1D2A"/>
    <w:rsid w:val="009E512D"/>
    <w:rsid w:val="009E53FD"/>
    <w:rsid w:val="009E5743"/>
    <w:rsid w:val="009E5981"/>
    <w:rsid w:val="009E6E55"/>
    <w:rsid w:val="009F122C"/>
    <w:rsid w:val="009F135B"/>
    <w:rsid w:val="009F1FB6"/>
    <w:rsid w:val="009F44B0"/>
    <w:rsid w:val="00A003C7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07BB8"/>
    <w:rsid w:val="00A106B1"/>
    <w:rsid w:val="00A139A8"/>
    <w:rsid w:val="00A13AC5"/>
    <w:rsid w:val="00A15BDF"/>
    <w:rsid w:val="00A15C46"/>
    <w:rsid w:val="00A15E7D"/>
    <w:rsid w:val="00A160B4"/>
    <w:rsid w:val="00A1673F"/>
    <w:rsid w:val="00A17322"/>
    <w:rsid w:val="00A17891"/>
    <w:rsid w:val="00A209FA"/>
    <w:rsid w:val="00A2149B"/>
    <w:rsid w:val="00A301BE"/>
    <w:rsid w:val="00A31755"/>
    <w:rsid w:val="00A3463A"/>
    <w:rsid w:val="00A351A2"/>
    <w:rsid w:val="00A356CF"/>
    <w:rsid w:val="00A35900"/>
    <w:rsid w:val="00A3695C"/>
    <w:rsid w:val="00A41C4D"/>
    <w:rsid w:val="00A42E6C"/>
    <w:rsid w:val="00A44329"/>
    <w:rsid w:val="00A44C01"/>
    <w:rsid w:val="00A45008"/>
    <w:rsid w:val="00A51839"/>
    <w:rsid w:val="00A52D44"/>
    <w:rsid w:val="00A5378F"/>
    <w:rsid w:val="00A56ADD"/>
    <w:rsid w:val="00A56F47"/>
    <w:rsid w:val="00A63775"/>
    <w:rsid w:val="00A63994"/>
    <w:rsid w:val="00A6406E"/>
    <w:rsid w:val="00A66BE5"/>
    <w:rsid w:val="00A67234"/>
    <w:rsid w:val="00A67432"/>
    <w:rsid w:val="00A679F4"/>
    <w:rsid w:val="00A70EE9"/>
    <w:rsid w:val="00A71985"/>
    <w:rsid w:val="00A71AF6"/>
    <w:rsid w:val="00A71D31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85A32"/>
    <w:rsid w:val="00A87F27"/>
    <w:rsid w:val="00A903EF"/>
    <w:rsid w:val="00A9151F"/>
    <w:rsid w:val="00A91AA1"/>
    <w:rsid w:val="00A9228A"/>
    <w:rsid w:val="00A926F3"/>
    <w:rsid w:val="00A95F64"/>
    <w:rsid w:val="00A961F6"/>
    <w:rsid w:val="00A97DB7"/>
    <w:rsid w:val="00A97EDF"/>
    <w:rsid w:val="00AA0229"/>
    <w:rsid w:val="00AA1182"/>
    <w:rsid w:val="00AA15CF"/>
    <w:rsid w:val="00AA2C75"/>
    <w:rsid w:val="00AA3442"/>
    <w:rsid w:val="00AA443B"/>
    <w:rsid w:val="00AA4CB7"/>
    <w:rsid w:val="00AA66DD"/>
    <w:rsid w:val="00AA6A45"/>
    <w:rsid w:val="00AB03A7"/>
    <w:rsid w:val="00AB15E8"/>
    <w:rsid w:val="00AB1C29"/>
    <w:rsid w:val="00AB1EE5"/>
    <w:rsid w:val="00AB32A9"/>
    <w:rsid w:val="00AB38AE"/>
    <w:rsid w:val="00AB56D3"/>
    <w:rsid w:val="00AC0647"/>
    <w:rsid w:val="00AC16B9"/>
    <w:rsid w:val="00AC3A62"/>
    <w:rsid w:val="00AC3F38"/>
    <w:rsid w:val="00AC43D0"/>
    <w:rsid w:val="00AC50DE"/>
    <w:rsid w:val="00AC7858"/>
    <w:rsid w:val="00AC79AA"/>
    <w:rsid w:val="00AD06B7"/>
    <w:rsid w:val="00AD21C4"/>
    <w:rsid w:val="00AD251B"/>
    <w:rsid w:val="00AD2EA4"/>
    <w:rsid w:val="00AD3240"/>
    <w:rsid w:val="00AD42F1"/>
    <w:rsid w:val="00AD47F1"/>
    <w:rsid w:val="00AD5479"/>
    <w:rsid w:val="00AE028C"/>
    <w:rsid w:val="00AE2885"/>
    <w:rsid w:val="00AE3BD0"/>
    <w:rsid w:val="00AE4D72"/>
    <w:rsid w:val="00AE54E7"/>
    <w:rsid w:val="00AE620A"/>
    <w:rsid w:val="00AE691A"/>
    <w:rsid w:val="00AE73D4"/>
    <w:rsid w:val="00AE7DE9"/>
    <w:rsid w:val="00AF1226"/>
    <w:rsid w:val="00AF34B4"/>
    <w:rsid w:val="00AF3FE7"/>
    <w:rsid w:val="00AF4554"/>
    <w:rsid w:val="00AF49C4"/>
    <w:rsid w:val="00AF4D51"/>
    <w:rsid w:val="00AF52C3"/>
    <w:rsid w:val="00AF6142"/>
    <w:rsid w:val="00B00DC2"/>
    <w:rsid w:val="00B01ED3"/>
    <w:rsid w:val="00B02530"/>
    <w:rsid w:val="00B02E8E"/>
    <w:rsid w:val="00B039E1"/>
    <w:rsid w:val="00B12D17"/>
    <w:rsid w:val="00B1342F"/>
    <w:rsid w:val="00B13622"/>
    <w:rsid w:val="00B13A5E"/>
    <w:rsid w:val="00B16057"/>
    <w:rsid w:val="00B166D0"/>
    <w:rsid w:val="00B16728"/>
    <w:rsid w:val="00B17E58"/>
    <w:rsid w:val="00B17EFD"/>
    <w:rsid w:val="00B20210"/>
    <w:rsid w:val="00B207FB"/>
    <w:rsid w:val="00B21C72"/>
    <w:rsid w:val="00B21DD4"/>
    <w:rsid w:val="00B22B87"/>
    <w:rsid w:val="00B24CB1"/>
    <w:rsid w:val="00B2509A"/>
    <w:rsid w:val="00B26A77"/>
    <w:rsid w:val="00B30A4E"/>
    <w:rsid w:val="00B30C7C"/>
    <w:rsid w:val="00B31DFD"/>
    <w:rsid w:val="00B32965"/>
    <w:rsid w:val="00B35C17"/>
    <w:rsid w:val="00B366DC"/>
    <w:rsid w:val="00B37A0B"/>
    <w:rsid w:val="00B37A8A"/>
    <w:rsid w:val="00B40F70"/>
    <w:rsid w:val="00B41643"/>
    <w:rsid w:val="00B426CA"/>
    <w:rsid w:val="00B43352"/>
    <w:rsid w:val="00B43C8A"/>
    <w:rsid w:val="00B46668"/>
    <w:rsid w:val="00B46EA0"/>
    <w:rsid w:val="00B52B9E"/>
    <w:rsid w:val="00B53A5E"/>
    <w:rsid w:val="00B53E2A"/>
    <w:rsid w:val="00B53F72"/>
    <w:rsid w:val="00B56C1E"/>
    <w:rsid w:val="00B57EC5"/>
    <w:rsid w:val="00B60568"/>
    <w:rsid w:val="00B62CAB"/>
    <w:rsid w:val="00B6453F"/>
    <w:rsid w:val="00B6518F"/>
    <w:rsid w:val="00B6687D"/>
    <w:rsid w:val="00B67F84"/>
    <w:rsid w:val="00B70A3A"/>
    <w:rsid w:val="00B70C26"/>
    <w:rsid w:val="00B7239B"/>
    <w:rsid w:val="00B72D7C"/>
    <w:rsid w:val="00B734CB"/>
    <w:rsid w:val="00B75B25"/>
    <w:rsid w:val="00B766EC"/>
    <w:rsid w:val="00B8414C"/>
    <w:rsid w:val="00B8467B"/>
    <w:rsid w:val="00B84C87"/>
    <w:rsid w:val="00B86BE6"/>
    <w:rsid w:val="00B86F88"/>
    <w:rsid w:val="00B87992"/>
    <w:rsid w:val="00B87FAD"/>
    <w:rsid w:val="00B90BEF"/>
    <w:rsid w:val="00B9264D"/>
    <w:rsid w:val="00B94E2E"/>
    <w:rsid w:val="00B958CC"/>
    <w:rsid w:val="00B960A0"/>
    <w:rsid w:val="00B97651"/>
    <w:rsid w:val="00BA1597"/>
    <w:rsid w:val="00BA1E4B"/>
    <w:rsid w:val="00BA3609"/>
    <w:rsid w:val="00BA6E0B"/>
    <w:rsid w:val="00BB2BF7"/>
    <w:rsid w:val="00BB3022"/>
    <w:rsid w:val="00BC1555"/>
    <w:rsid w:val="00BC1886"/>
    <w:rsid w:val="00BC1B5B"/>
    <w:rsid w:val="00BC4265"/>
    <w:rsid w:val="00BC46A0"/>
    <w:rsid w:val="00BC4729"/>
    <w:rsid w:val="00BC604F"/>
    <w:rsid w:val="00BC62FB"/>
    <w:rsid w:val="00BC72F6"/>
    <w:rsid w:val="00BC7475"/>
    <w:rsid w:val="00BD16B2"/>
    <w:rsid w:val="00BD1772"/>
    <w:rsid w:val="00BD433C"/>
    <w:rsid w:val="00BD47D9"/>
    <w:rsid w:val="00BD5A25"/>
    <w:rsid w:val="00BD5D83"/>
    <w:rsid w:val="00BD661E"/>
    <w:rsid w:val="00BD760A"/>
    <w:rsid w:val="00BE007F"/>
    <w:rsid w:val="00BE1369"/>
    <w:rsid w:val="00BE259B"/>
    <w:rsid w:val="00BE30F3"/>
    <w:rsid w:val="00BE4256"/>
    <w:rsid w:val="00BE4F0D"/>
    <w:rsid w:val="00BE6A8A"/>
    <w:rsid w:val="00BE6E7B"/>
    <w:rsid w:val="00BE7A74"/>
    <w:rsid w:val="00BF0EA2"/>
    <w:rsid w:val="00BF1CD8"/>
    <w:rsid w:val="00BF3AC0"/>
    <w:rsid w:val="00BF5158"/>
    <w:rsid w:val="00BF547E"/>
    <w:rsid w:val="00BF78F2"/>
    <w:rsid w:val="00C003DF"/>
    <w:rsid w:val="00C01E06"/>
    <w:rsid w:val="00C028A0"/>
    <w:rsid w:val="00C04111"/>
    <w:rsid w:val="00C10C24"/>
    <w:rsid w:val="00C11910"/>
    <w:rsid w:val="00C11BD6"/>
    <w:rsid w:val="00C12ED9"/>
    <w:rsid w:val="00C1428B"/>
    <w:rsid w:val="00C143D9"/>
    <w:rsid w:val="00C161A8"/>
    <w:rsid w:val="00C16C73"/>
    <w:rsid w:val="00C173FA"/>
    <w:rsid w:val="00C1776B"/>
    <w:rsid w:val="00C20CCC"/>
    <w:rsid w:val="00C20D6B"/>
    <w:rsid w:val="00C223F7"/>
    <w:rsid w:val="00C22733"/>
    <w:rsid w:val="00C237FE"/>
    <w:rsid w:val="00C23901"/>
    <w:rsid w:val="00C239BA"/>
    <w:rsid w:val="00C252AE"/>
    <w:rsid w:val="00C257E6"/>
    <w:rsid w:val="00C27559"/>
    <w:rsid w:val="00C3095F"/>
    <w:rsid w:val="00C33FD7"/>
    <w:rsid w:val="00C33FDE"/>
    <w:rsid w:val="00C41ED6"/>
    <w:rsid w:val="00C42B9F"/>
    <w:rsid w:val="00C43D10"/>
    <w:rsid w:val="00C446C8"/>
    <w:rsid w:val="00C47359"/>
    <w:rsid w:val="00C501E5"/>
    <w:rsid w:val="00C50CDE"/>
    <w:rsid w:val="00C56F27"/>
    <w:rsid w:val="00C606BA"/>
    <w:rsid w:val="00C626DF"/>
    <w:rsid w:val="00C661E9"/>
    <w:rsid w:val="00C66780"/>
    <w:rsid w:val="00C66A00"/>
    <w:rsid w:val="00C6735F"/>
    <w:rsid w:val="00C70992"/>
    <w:rsid w:val="00C710C4"/>
    <w:rsid w:val="00C71589"/>
    <w:rsid w:val="00C71690"/>
    <w:rsid w:val="00C735E0"/>
    <w:rsid w:val="00C73B66"/>
    <w:rsid w:val="00C73E96"/>
    <w:rsid w:val="00C76FC4"/>
    <w:rsid w:val="00C77402"/>
    <w:rsid w:val="00C82076"/>
    <w:rsid w:val="00C879B8"/>
    <w:rsid w:val="00C9330C"/>
    <w:rsid w:val="00C9472B"/>
    <w:rsid w:val="00C94DDE"/>
    <w:rsid w:val="00CA02B6"/>
    <w:rsid w:val="00CA2546"/>
    <w:rsid w:val="00CA2982"/>
    <w:rsid w:val="00CA2C19"/>
    <w:rsid w:val="00CA4463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4B8"/>
    <w:rsid w:val="00CC0E20"/>
    <w:rsid w:val="00CC1B39"/>
    <w:rsid w:val="00CC1C9F"/>
    <w:rsid w:val="00CC3D1F"/>
    <w:rsid w:val="00CC70F6"/>
    <w:rsid w:val="00CD0E86"/>
    <w:rsid w:val="00CD1821"/>
    <w:rsid w:val="00CD3E72"/>
    <w:rsid w:val="00CD467D"/>
    <w:rsid w:val="00CD591D"/>
    <w:rsid w:val="00CD6885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0753"/>
    <w:rsid w:val="00CF201E"/>
    <w:rsid w:val="00CF2583"/>
    <w:rsid w:val="00CF2DC5"/>
    <w:rsid w:val="00CF3FC3"/>
    <w:rsid w:val="00CF41EC"/>
    <w:rsid w:val="00CF4BA9"/>
    <w:rsid w:val="00CF57D3"/>
    <w:rsid w:val="00CF7622"/>
    <w:rsid w:val="00D02013"/>
    <w:rsid w:val="00D029E7"/>
    <w:rsid w:val="00D03770"/>
    <w:rsid w:val="00D03C3C"/>
    <w:rsid w:val="00D041D6"/>
    <w:rsid w:val="00D048C9"/>
    <w:rsid w:val="00D04A43"/>
    <w:rsid w:val="00D04FAD"/>
    <w:rsid w:val="00D064B2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45D2"/>
    <w:rsid w:val="00D252A1"/>
    <w:rsid w:val="00D2690D"/>
    <w:rsid w:val="00D277D2"/>
    <w:rsid w:val="00D30ECD"/>
    <w:rsid w:val="00D31410"/>
    <w:rsid w:val="00D3220A"/>
    <w:rsid w:val="00D32434"/>
    <w:rsid w:val="00D3328A"/>
    <w:rsid w:val="00D3328F"/>
    <w:rsid w:val="00D354ED"/>
    <w:rsid w:val="00D35E7F"/>
    <w:rsid w:val="00D36E95"/>
    <w:rsid w:val="00D42C18"/>
    <w:rsid w:val="00D443E8"/>
    <w:rsid w:val="00D44FC7"/>
    <w:rsid w:val="00D508AA"/>
    <w:rsid w:val="00D50F78"/>
    <w:rsid w:val="00D512AB"/>
    <w:rsid w:val="00D53332"/>
    <w:rsid w:val="00D5413D"/>
    <w:rsid w:val="00D5550A"/>
    <w:rsid w:val="00D56BF7"/>
    <w:rsid w:val="00D57300"/>
    <w:rsid w:val="00D6162C"/>
    <w:rsid w:val="00D616A6"/>
    <w:rsid w:val="00D617C5"/>
    <w:rsid w:val="00D63022"/>
    <w:rsid w:val="00D655CE"/>
    <w:rsid w:val="00D65DAA"/>
    <w:rsid w:val="00D755AA"/>
    <w:rsid w:val="00D77F29"/>
    <w:rsid w:val="00D80456"/>
    <w:rsid w:val="00D80A11"/>
    <w:rsid w:val="00D816F8"/>
    <w:rsid w:val="00D845AF"/>
    <w:rsid w:val="00D8536D"/>
    <w:rsid w:val="00D855B4"/>
    <w:rsid w:val="00D87260"/>
    <w:rsid w:val="00D90675"/>
    <w:rsid w:val="00D92827"/>
    <w:rsid w:val="00D94F92"/>
    <w:rsid w:val="00D95D7B"/>
    <w:rsid w:val="00D96D26"/>
    <w:rsid w:val="00D978C8"/>
    <w:rsid w:val="00D97F49"/>
    <w:rsid w:val="00DA1DA7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B7748"/>
    <w:rsid w:val="00DB7C6F"/>
    <w:rsid w:val="00DC1659"/>
    <w:rsid w:val="00DC244A"/>
    <w:rsid w:val="00DC39F6"/>
    <w:rsid w:val="00DC3D51"/>
    <w:rsid w:val="00DC4034"/>
    <w:rsid w:val="00DC404F"/>
    <w:rsid w:val="00DC4BF0"/>
    <w:rsid w:val="00DC5174"/>
    <w:rsid w:val="00DC518D"/>
    <w:rsid w:val="00DC598A"/>
    <w:rsid w:val="00DC6D68"/>
    <w:rsid w:val="00DC741B"/>
    <w:rsid w:val="00DC7482"/>
    <w:rsid w:val="00DD0292"/>
    <w:rsid w:val="00DD0845"/>
    <w:rsid w:val="00DD1FCB"/>
    <w:rsid w:val="00DD20EB"/>
    <w:rsid w:val="00DD2BDA"/>
    <w:rsid w:val="00DD39E4"/>
    <w:rsid w:val="00DD468E"/>
    <w:rsid w:val="00DD4CED"/>
    <w:rsid w:val="00DD6496"/>
    <w:rsid w:val="00DE017D"/>
    <w:rsid w:val="00DE4836"/>
    <w:rsid w:val="00DE5161"/>
    <w:rsid w:val="00DE5329"/>
    <w:rsid w:val="00DE5601"/>
    <w:rsid w:val="00DE75B9"/>
    <w:rsid w:val="00DF166C"/>
    <w:rsid w:val="00DF3B7E"/>
    <w:rsid w:val="00DF4880"/>
    <w:rsid w:val="00DF57FE"/>
    <w:rsid w:val="00DF64AB"/>
    <w:rsid w:val="00DF6E44"/>
    <w:rsid w:val="00E002AE"/>
    <w:rsid w:val="00E017EC"/>
    <w:rsid w:val="00E02040"/>
    <w:rsid w:val="00E02805"/>
    <w:rsid w:val="00E02975"/>
    <w:rsid w:val="00E02FE9"/>
    <w:rsid w:val="00E06455"/>
    <w:rsid w:val="00E06E8E"/>
    <w:rsid w:val="00E10113"/>
    <w:rsid w:val="00E13745"/>
    <w:rsid w:val="00E1576A"/>
    <w:rsid w:val="00E15C68"/>
    <w:rsid w:val="00E15DD2"/>
    <w:rsid w:val="00E1690E"/>
    <w:rsid w:val="00E16CC9"/>
    <w:rsid w:val="00E22A36"/>
    <w:rsid w:val="00E22EC4"/>
    <w:rsid w:val="00E24554"/>
    <w:rsid w:val="00E258AC"/>
    <w:rsid w:val="00E25BD5"/>
    <w:rsid w:val="00E26865"/>
    <w:rsid w:val="00E31428"/>
    <w:rsid w:val="00E3196E"/>
    <w:rsid w:val="00E31CA3"/>
    <w:rsid w:val="00E31E4A"/>
    <w:rsid w:val="00E32593"/>
    <w:rsid w:val="00E3275B"/>
    <w:rsid w:val="00E33494"/>
    <w:rsid w:val="00E3666A"/>
    <w:rsid w:val="00E36CCA"/>
    <w:rsid w:val="00E40F4A"/>
    <w:rsid w:val="00E424FE"/>
    <w:rsid w:val="00E43764"/>
    <w:rsid w:val="00E44027"/>
    <w:rsid w:val="00E44204"/>
    <w:rsid w:val="00E4428D"/>
    <w:rsid w:val="00E4449E"/>
    <w:rsid w:val="00E446AE"/>
    <w:rsid w:val="00E44D14"/>
    <w:rsid w:val="00E459D6"/>
    <w:rsid w:val="00E47F4E"/>
    <w:rsid w:val="00E505E3"/>
    <w:rsid w:val="00E50D02"/>
    <w:rsid w:val="00E51674"/>
    <w:rsid w:val="00E51F11"/>
    <w:rsid w:val="00E526D9"/>
    <w:rsid w:val="00E5331D"/>
    <w:rsid w:val="00E54824"/>
    <w:rsid w:val="00E6047D"/>
    <w:rsid w:val="00E607E4"/>
    <w:rsid w:val="00E617FA"/>
    <w:rsid w:val="00E62B72"/>
    <w:rsid w:val="00E62D9B"/>
    <w:rsid w:val="00E64363"/>
    <w:rsid w:val="00E66297"/>
    <w:rsid w:val="00E668AC"/>
    <w:rsid w:val="00E66EC9"/>
    <w:rsid w:val="00E67DDF"/>
    <w:rsid w:val="00E70E5A"/>
    <w:rsid w:val="00E71965"/>
    <w:rsid w:val="00E72696"/>
    <w:rsid w:val="00E7376A"/>
    <w:rsid w:val="00E73DD1"/>
    <w:rsid w:val="00E75AF7"/>
    <w:rsid w:val="00E77756"/>
    <w:rsid w:val="00E77F31"/>
    <w:rsid w:val="00E80001"/>
    <w:rsid w:val="00E801D8"/>
    <w:rsid w:val="00E816D5"/>
    <w:rsid w:val="00E81FBA"/>
    <w:rsid w:val="00E84152"/>
    <w:rsid w:val="00E848B6"/>
    <w:rsid w:val="00E85B64"/>
    <w:rsid w:val="00E862BC"/>
    <w:rsid w:val="00E86696"/>
    <w:rsid w:val="00E93348"/>
    <w:rsid w:val="00E94CAA"/>
    <w:rsid w:val="00E952FD"/>
    <w:rsid w:val="00EA2069"/>
    <w:rsid w:val="00EA33BD"/>
    <w:rsid w:val="00EA63D4"/>
    <w:rsid w:val="00EB2FB3"/>
    <w:rsid w:val="00EB3D9A"/>
    <w:rsid w:val="00EB3DDD"/>
    <w:rsid w:val="00EB3E4F"/>
    <w:rsid w:val="00EB4773"/>
    <w:rsid w:val="00EB5639"/>
    <w:rsid w:val="00EC045B"/>
    <w:rsid w:val="00EC1407"/>
    <w:rsid w:val="00EC2F26"/>
    <w:rsid w:val="00EC4FCB"/>
    <w:rsid w:val="00EC57DA"/>
    <w:rsid w:val="00EC60F7"/>
    <w:rsid w:val="00EC6FF5"/>
    <w:rsid w:val="00ED125F"/>
    <w:rsid w:val="00ED2623"/>
    <w:rsid w:val="00ED3867"/>
    <w:rsid w:val="00ED3BEE"/>
    <w:rsid w:val="00ED5333"/>
    <w:rsid w:val="00ED5A7D"/>
    <w:rsid w:val="00ED5CC2"/>
    <w:rsid w:val="00ED6D05"/>
    <w:rsid w:val="00ED6D5C"/>
    <w:rsid w:val="00EE1F88"/>
    <w:rsid w:val="00EE325D"/>
    <w:rsid w:val="00EE53C4"/>
    <w:rsid w:val="00EE553B"/>
    <w:rsid w:val="00EE5F80"/>
    <w:rsid w:val="00EE6A38"/>
    <w:rsid w:val="00EE75E5"/>
    <w:rsid w:val="00EE7E41"/>
    <w:rsid w:val="00EF2D29"/>
    <w:rsid w:val="00EF469E"/>
    <w:rsid w:val="00EF4913"/>
    <w:rsid w:val="00EF62A3"/>
    <w:rsid w:val="00EF7142"/>
    <w:rsid w:val="00F00670"/>
    <w:rsid w:val="00F02D83"/>
    <w:rsid w:val="00F05356"/>
    <w:rsid w:val="00F058F4"/>
    <w:rsid w:val="00F05C08"/>
    <w:rsid w:val="00F06B2F"/>
    <w:rsid w:val="00F071B9"/>
    <w:rsid w:val="00F103D7"/>
    <w:rsid w:val="00F10973"/>
    <w:rsid w:val="00F11861"/>
    <w:rsid w:val="00F1249A"/>
    <w:rsid w:val="00F136A6"/>
    <w:rsid w:val="00F13710"/>
    <w:rsid w:val="00F1486F"/>
    <w:rsid w:val="00F1639A"/>
    <w:rsid w:val="00F16DF3"/>
    <w:rsid w:val="00F201A9"/>
    <w:rsid w:val="00F22E1F"/>
    <w:rsid w:val="00F2314A"/>
    <w:rsid w:val="00F23D63"/>
    <w:rsid w:val="00F2507A"/>
    <w:rsid w:val="00F26A49"/>
    <w:rsid w:val="00F26F22"/>
    <w:rsid w:val="00F271EA"/>
    <w:rsid w:val="00F301DE"/>
    <w:rsid w:val="00F30660"/>
    <w:rsid w:val="00F30B97"/>
    <w:rsid w:val="00F31AC6"/>
    <w:rsid w:val="00F32946"/>
    <w:rsid w:val="00F341F4"/>
    <w:rsid w:val="00F34DF6"/>
    <w:rsid w:val="00F351E1"/>
    <w:rsid w:val="00F35B3D"/>
    <w:rsid w:val="00F36024"/>
    <w:rsid w:val="00F367CB"/>
    <w:rsid w:val="00F36846"/>
    <w:rsid w:val="00F37FE7"/>
    <w:rsid w:val="00F42016"/>
    <w:rsid w:val="00F45E6D"/>
    <w:rsid w:val="00F4644F"/>
    <w:rsid w:val="00F50069"/>
    <w:rsid w:val="00F5164C"/>
    <w:rsid w:val="00F52BF2"/>
    <w:rsid w:val="00F53649"/>
    <w:rsid w:val="00F53AE4"/>
    <w:rsid w:val="00F53D34"/>
    <w:rsid w:val="00F57DF3"/>
    <w:rsid w:val="00F60D33"/>
    <w:rsid w:val="00F63B81"/>
    <w:rsid w:val="00F6498B"/>
    <w:rsid w:val="00F663B8"/>
    <w:rsid w:val="00F67218"/>
    <w:rsid w:val="00F700DD"/>
    <w:rsid w:val="00F70D1A"/>
    <w:rsid w:val="00F70D85"/>
    <w:rsid w:val="00F70EAC"/>
    <w:rsid w:val="00F7162A"/>
    <w:rsid w:val="00F73116"/>
    <w:rsid w:val="00F73969"/>
    <w:rsid w:val="00F73CDC"/>
    <w:rsid w:val="00F74CC4"/>
    <w:rsid w:val="00F75AD9"/>
    <w:rsid w:val="00F77EC4"/>
    <w:rsid w:val="00F811A8"/>
    <w:rsid w:val="00F817CD"/>
    <w:rsid w:val="00F85F1D"/>
    <w:rsid w:val="00F87337"/>
    <w:rsid w:val="00F926E9"/>
    <w:rsid w:val="00F9313B"/>
    <w:rsid w:val="00F939AF"/>
    <w:rsid w:val="00F943D5"/>
    <w:rsid w:val="00F945F4"/>
    <w:rsid w:val="00F9487F"/>
    <w:rsid w:val="00F94A29"/>
    <w:rsid w:val="00F95D73"/>
    <w:rsid w:val="00FA1550"/>
    <w:rsid w:val="00FA32B6"/>
    <w:rsid w:val="00FA38AB"/>
    <w:rsid w:val="00FA4DD6"/>
    <w:rsid w:val="00FA58BA"/>
    <w:rsid w:val="00FA6059"/>
    <w:rsid w:val="00FA6AFA"/>
    <w:rsid w:val="00FB2ECC"/>
    <w:rsid w:val="00FB334C"/>
    <w:rsid w:val="00FB4DA0"/>
    <w:rsid w:val="00FB7803"/>
    <w:rsid w:val="00FC010F"/>
    <w:rsid w:val="00FC3A3F"/>
    <w:rsid w:val="00FC474C"/>
    <w:rsid w:val="00FC5E2B"/>
    <w:rsid w:val="00FC6F39"/>
    <w:rsid w:val="00FC6FAC"/>
    <w:rsid w:val="00FD0B25"/>
    <w:rsid w:val="00FD137D"/>
    <w:rsid w:val="00FD2163"/>
    <w:rsid w:val="00FD3017"/>
    <w:rsid w:val="00FD384C"/>
    <w:rsid w:val="00FD3B20"/>
    <w:rsid w:val="00FD3DA4"/>
    <w:rsid w:val="00FD4E26"/>
    <w:rsid w:val="00FD6905"/>
    <w:rsid w:val="00FD69CD"/>
    <w:rsid w:val="00FE0403"/>
    <w:rsid w:val="00FE0F7E"/>
    <w:rsid w:val="00FE1A74"/>
    <w:rsid w:val="00FE2B5D"/>
    <w:rsid w:val="00FE40C4"/>
    <w:rsid w:val="00FE556E"/>
    <w:rsid w:val="00FE670E"/>
    <w:rsid w:val="00FF0C7B"/>
    <w:rsid w:val="00FF1A75"/>
    <w:rsid w:val="00FF638B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s1029">
          <o:proxy start="" idref="#_s1037" connectloc="1"/>
          <o:proxy end="" idref="#_s1033" connectloc="2"/>
        </o:r>
        <o:r id="V:Rule2" type="connector" idref="#_s1031">
          <o:proxy start="" idref="#_s1035" connectloc="1"/>
          <o:proxy end="" idref="#_s1033" connectloc="2"/>
        </o:r>
        <o:r id="V:Rule3" type="connector" idref="#_s1032"/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paragraph" w:styleId="ad">
    <w:name w:val="caption"/>
    <w:basedOn w:val="a"/>
    <w:next w:val="a"/>
    <w:unhideWhenUsed/>
    <w:qFormat/>
    <w:locked/>
    <w:rsid w:val="007D41B7"/>
    <w:pPr>
      <w:spacing w:line="240" w:lineRule="auto"/>
    </w:pPr>
    <w:rPr>
      <w:b/>
      <w:bCs/>
      <w:color w:val="629DD1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paragraph" w:styleId="ad">
    <w:name w:val="caption"/>
    <w:basedOn w:val="a"/>
    <w:next w:val="a"/>
    <w:unhideWhenUsed/>
    <w:qFormat/>
    <w:locked/>
    <w:rsid w:val="007D41B7"/>
    <w:pPr>
      <w:spacing w:line="240" w:lineRule="auto"/>
    </w:pPr>
    <w:rPr>
      <w:b/>
      <w:bCs/>
      <w:color w:val="629DD1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800"/>
              <a:t>Динаміка дохідної частини  бюджету
</a:t>
            </a:r>
          </a:p>
        </c:rich>
      </c:tx>
      <c:layout>
        <c:manualLayout>
          <c:xMode val="edge"/>
          <c:yMode val="edge"/>
          <c:x val="0.16160242251810444"/>
          <c:y val="3.695150115473441E-2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58290594024399E-2"/>
          <c:y val="0.23391342825795736"/>
          <c:w val="0.963398180615695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672090711323525E-2"/>
                  <c:y val="-2.9161882323764647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+mn-lt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  <a:latin typeface="+mn-lt"/>
                      </a:rPr>
                      <a:t>Податки, збори та інші платежі               24218,1 тис.грн.</a:t>
                    </a:r>
                    <a:endParaRPr lang="ru-RU">
                      <a:latin typeface="+mn-lt"/>
                    </a:endParaRP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309819434218898E-2"/>
                  <c:y val="-3.7392785486109847E-3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+mn-lt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  <a:latin typeface="+mn-lt"/>
                      </a:rPr>
                      <a:t>Податки, збори та інші платежі              32474,1 тис.грн.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rgbClr val="002060"/>
                    </a:solidFill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року</c:v>
                </c:pt>
                <c:pt idx="1">
                  <c:v>1 квартал 2021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24218</c:v>
                </c:pt>
                <c:pt idx="1">
                  <c:v>32474.1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90854411819759E-2"/>
                  <c:y val="-2.57186327459644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aseline="0">
                        <a:solidFill>
                          <a:srgbClr val="002060"/>
                        </a:solidFill>
                      </a:rPr>
                      <a:t>Офіційні трансферти          13071,0 тис.грн.</a:t>
                    </a:r>
                    <a:endParaRPr lang="ru-RU" baseline="0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452649837153875"/>
                  <c:y val="-1.860401399016808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</a:rPr>
                      <a:t>Офіційні трансферти          12782,1 тис.грн.</a:t>
                    </a:r>
                    <a:endParaRPr lang="ru-RU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1294">
                <a:solidFill>
                  <a:srgbClr val="CF543F">
                    <a:lumMod val="75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206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року</c:v>
                </c:pt>
                <c:pt idx="1">
                  <c:v>1 квартал 2021 року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13071</c:v>
                </c:pt>
                <c:pt idx="1">
                  <c:v>12782.1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2626176"/>
        <c:axId val="222627712"/>
        <c:axId val="0"/>
      </c:bar3DChart>
      <c:catAx>
        <c:axId val="22262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800" b="1"/>
            </a:pPr>
            <a:endParaRPr lang="ru-RU"/>
          </a:p>
        </c:txPr>
        <c:crossAx val="222627712"/>
        <c:crosses val="autoZero"/>
        <c:auto val="1"/>
        <c:lblAlgn val="ctr"/>
        <c:lblOffset val="100"/>
        <c:noMultiLvlLbl val="0"/>
      </c:catAx>
      <c:valAx>
        <c:axId val="222627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2626176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9817696241578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2.9542097488921712E-2"/>
                  <c:y val="-0.1282932416953035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доходи фізичних осіб, податок на прибуток</a:t>
                    </a:r>
                  </a:p>
                  <a:p>
                    <a:r>
                      <a:rPr lang="ru-RU" sz="1100"/>
                      <a:t>12396,6 тис.грн.</a:t>
                    </a:r>
                  </a:p>
                  <a:p>
                    <a:r>
                      <a:rPr lang="ru-RU" sz="1000"/>
                      <a:t> (27,4%)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14891143761668968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Акцизний податок</a:t>
                    </a:r>
                  </a:p>
                  <a:p>
                    <a:r>
                      <a:rPr lang="ru-RU" sz="1100"/>
                      <a:t>1562,5 тис.грн.</a:t>
                    </a:r>
                  </a:p>
                  <a:p>
                    <a:r>
                      <a:rPr lang="ru-RU" sz="1000"/>
                      <a:t> (3,5%)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5952732644017725"/>
                  <c:y val="0.1832760595647193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нерухоме майно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409,5 тис.грн.</a:t>
                    </a:r>
                  </a:p>
                  <a:p>
                    <a:r>
                      <a:rPr lang="ru-RU" sz="1000"/>
                      <a:t> (0,9%)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6504185130477663E-2"/>
                  <c:y val="0.231386025200458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землю </a:t>
                    </a:r>
                    <a:r>
                      <a:rPr lang="ru-RU" sz="1100"/>
                      <a:t>6248,5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(13,8%)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3239783357951749"/>
                  <c:y val="0.2130584192439862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Єдиний податок </a:t>
                    </a:r>
                    <a:r>
                      <a:rPr lang="ru-RU" sz="1100"/>
                      <a:t>5220,5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(11,5%)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6346627277203349"/>
                  <c:y val="0.1557846506300114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Транспортний податок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20,8 тис.грн.</a:t>
                    </a:r>
                  </a:p>
                  <a:p>
                    <a:r>
                      <a:rPr lang="ru-RU" sz="1000"/>
                      <a:t> 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8473658296405718E-3"/>
                  <c:y val="0.2703321878579610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надання адмінпослуг, адмінштрафи та збори</a:t>
                    </a:r>
                  </a:p>
                  <a:p>
                    <a:r>
                      <a:rPr lang="ru-RU" sz="1100"/>
                      <a:t>242,3 тис.грн.</a:t>
                    </a:r>
                  </a:p>
                  <a:p>
                    <a:r>
                      <a:rPr lang="ru-RU" sz="1000"/>
                      <a:t> (0,5%)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4.5819014891179842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Державне мито;           </a:t>
                    </a:r>
                    <a:r>
                      <a:rPr lang="ru-RU" sz="1100"/>
                      <a:t>24,5 </a:t>
                    </a:r>
                    <a:r>
                      <a:rPr lang="ru-RU" sz="1100" baseline="0"/>
                      <a:t>тис.грн.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000"/>
                      <a:t>(0,1%0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1951988276206979E-3"/>
                  <c:y val="0.12600229095074456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Рентна плата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57,7 тис.грн.</a:t>
                    </a:r>
                  </a:p>
                  <a:p>
                    <a:r>
                      <a:rPr lang="ru-RU" sz="1000"/>
                      <a:t> 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0.11454753722794959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Офіційні трансферти                </a:t>
                    </a:r>
                    <a:r>
                      <a:rPr lang="ru-RU" sz="1100"/>
                      <a:t>12782,1 тис.грн.</a:t>
                    </a:r>
                  </a:p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 (28,2%)</a:t>
                    </a:r>
                    <a:endParaRPr lang="ru-RU"/>
                  </a:p>
                </c:rich>
              </c:tx>
              <c:numFmt formatCode="#,##0.0" sourceLinked="0"/>
              <c:spPr>
                <a:solidFill>
                  <a:srgbClr val="297FD5">
                    <a:lumMod val="40000"/>
                    <a:lumOff val="60000"/>
                  </a:srgbClr>
                </a:solidFill>
                <a:ln>
                  <a:solidFill>
                    <a:srgbClr val="242852">
                      <a:lumMod val="40000"/>
                      <a:lumOff val="60000"/>
                    </a:srgbClr>
                  </a:solidFill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9236829148202856E-2"/>
                  <c:y val="-4.8109965635738834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Власні надходження бюджетних установ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6260,9 тис.грн.</a:t>
                    </a:r>
                    <a:endParaRPr lang="ru-RU" sz="1100" baseline="0"/>
                  </a:p>
                  <a:p>
                    <a:r>
                      <a:rPr lang="ru-RU" sz="1000"/>
                      <a:t>(13,8%)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3633677991137372E-2"/>
                  <c:y val="-8.476517754868270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Екологічний податок;</a:t>
                    </a:r>
                  </a:p>
                  <a:p>
                    <a:r>
                      <a:rPr lang="ru-RU" sz="1100"/>
                      <a:t>15,7 тис.грн.</a:t>
                    </a:r>
                    <a:endParaRPr lang="ru-RU" sz="1100" baseline="0"/>
                  </a:p>
                  <a:p>
                    <a:r>
                      <a:rPr lang="ru-RU" sz="1000"/>
                      <a:t>(0,05%)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7331363860167406"/>
                  <c:y val="-0.1512029295307158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Інші надходження </a:t>
                    </a:r>
                    <a:r>
                      <a:rPr lang="ru-RU" sz="1100"/>
                      <a:t>14,6 тис.грн. </a:t>
                    </a:r>
                  </a:p>
                  <a:p>
                    <a:r>
                      <a:rPr lang="ru-RU" sz="1000"/>
                      <a:t> (0,05%)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solidFill>
                <a:srgbClr val="297FD5">
                  <a:lumMod val="40000"/>
                  <a:lumOff val="60000"/>
                </a:srgbClr>
              </a:solidFill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38449.800000000003</c:v>
                </c:pt>
                <c:pt idx="1">
                  <c:v>5050.6000000000004</c:v>
                </c:pt>
                <c:pt idx="2">
                  <c:v>1005.9</c:v>
                </c:pt>
                <c:pt idx="3">
                  <c:v>14709.2</c:v>
                </c:pt>
                <c:pt idx="4">
                  <c:v>10627.4</c:v>
                </c:pt>
                <c:pt idx="5">
                  <c:v>77.599999999999994</c:v>
                </c:pt>
                <c:pt idx="6">
                  <c:v>782.7</c:v>
                </c:pt>
                <c:pt idx="7">
                  <c:v>72.400000000000006</c:v>
                </c:pt>
                <c:pt idx="8">
                  <c:v>103.9</c:v>
                </c:pt>
                <c:pt idx="9">
                  <c:v>36807.300000000003</c:v>
                </c:pt>
                <c:pt idx="10">
                  <c:v>7757.6</c:v>
                </c:pt>
                <c:pt idx="11">
                  <c:v>40.700000000000003</c:v>
                </c:pt>
                <c:pt idx="12">
                  <c:v>135.80000000000001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4A66AC">
            <a:lumMod val="60000"/>
            <a:lumOff val="40000"/>
          </a:srgbClr>
        </a:solidFill>
      </c:spPr>
    </c:plotArea>
    <c:plotVisOnly val="1"/>
    <c:dispBlanksAs val="gap"/>
    <c:showDLblsOverMax val="0"/>
  </c:chart>
  <c:spPr>
    <a:solidFill>
      <a:srgbClr val="9D90A0">
        <a:lumMod val="40000"/>
        <a:lumOff val="60000"/>
      </a:srgbClr>
    </a:solidFill>
    <a:ln>
      <a:noFill/>
    </a:ln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039640265555044E-3"/>
          <c:w val="1"/>
          <c:h val="0.930371506870464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2.099271925773227E-2"/>
                  <c:y val="-0.16210087048471458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Охорона здоров"я
1743,8
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789451747716085"/>
                  <c:y val="-0.12431919031703771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Соціальний захист та соціальне забезпечення
2028,5
4,7%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488603398259427E-2"/>
                  <c:y val="7.6862272415615274E-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Фізична культура і спорт
765,2
1,8%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2240487482924282E-2"/>
                  <c:y val="0.1011252461994663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Житлово-комунальне господарство
1053,0</a:t>
                    </a:r>
                  </a:p>
                  <a:p>
                    <a:r>
                      <a:rPr lang="ru-RU" sz="900"/>
                      <a:t>2,4%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8061497677597169E-2"/>
                  <c:y val="8.207141373515361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Освіта
25386,7
58,9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690934712213512E-4"/>
                  <c:y val="8.5589972209356088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Культура і мистецтво
2200,2
5,1%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4.7210300429184546E-3"/>
                  <c:y val="-6.257859853849204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Державне управління
4637,8
10,8%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2332364595795695E-3"/>
                  <c:y val="-0.16638595684501192"/>
                </c:manualLayout>
              </c:layout>
              <c:tx>
                <c:rich>
                  <a:bodyPr/>
                  <a:lstStyle/>
                  <a:p>
                    <a:r>
                      <a:rPr lang="uk-UA" sz="900"/>
                      <a:t>Міжбюджетні трансферти                  100,0                                     0,2%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9464822666984394E-2"/>
                  <c:y val="-3.5802075272409403E-2"/>
                </c:manualLayout>
              </c:layout>
              <c:tx>
                <c:rich>
                  <a:bodyPr/>
                  <a:lstStyle/>
                  <a:p>
                    <a:pPr>
                      <a:defRPr sz="900"/>
                    </a:pPr>
                    <a:r>
                      <a:rPr lang="ru-RU" sz="900"/>
                      <a:t>Економічна</a:t>
                    </a:r>
                    <a:r>
                      <a:rPr lang="ru-RU" sz="900" baseline="0"/>
                      <a:t> та інша діяльність (дороги, будівництво інших об'єктів комунальної власності, містобудівна документація та інші)                  5154,2                                 12,0%</a:t>
                    </a:r>
                    <a:endParaRPr lang="ru-RU" sz="900"/>
                  </a:p>
                  <a:p>
                    <a:pPr>
                      <a:defRPr sz="900"/>
                    </a:pPr>
                    <a:endParaRPr lang="ru-RU"/>
                  </a:p>
                </c:rich>
              </c:tx>
              <c:numFmt formatCode="#,##0.00" sourceLinked="0"/>
              <c:spPr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1743.8</c:v>
                </c:pt>
                <c:pt idx="1">
                  <c:v>2028.5</c:v>
                </c:pt>
                <c:pt idx="2">
                  <c:v>765.2</c:v>
                </c:pt>
                <c:pt idx="3">
                  <c:v>1053</c:v>
                </c:pt>
                <c:pt idx="4">
                  <c:v>25386.7</c:v>
                </c:pt>
                <c:pt idx="5">
                  <c:v>2200.1999999999998</c:v>
                </c:pt>
                <c:pt idx="6">
                  <c:v>4637.8</c:v>
                </c:pt>
                <c:pt idx="7">
                  <c:v>100</c:v>
                </c:pt>
                <c:pt idx="8">
                  <c:v>5154.2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4.0488142393439421</c:v>
                </c:pt>
                <c:pt idx="1">
                  <c:v>4.7098403971264977</c:v>
                </c:pt>
                <c:pt idx="2">
                  <c:v>1.7766674251324606</c:v>
                </c:pt>
                <c:pt idx="3">
                  <c:v>2.4448912685108222</c:v>
                </c:pt>
                <c:pt idx="4">
                  <c:v>58.943704811304542</c:v>
                </c:pt>
                <c:pt idx="5">
                  <c:v>5.1084993057716144</c:v>
                </c:pt>
                <c:pt idx="6">
                  <c:v>10.768202018138167</c:v>
                </c:pt>
                <c:pt idx="7">
                  <c:v>0.23218340631631737</c:v>
                </c:pt>
                <c:pt idx="8">
                  <c:v>11.967197128355631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Lbls>
            <c:dLbl>
              <c:idx val="0"/>
              <c:layout>
                <c:manualLayout>
                  <c:x val="-9.9360139154203355E-3"/>
                  <c:y val="0.10375149865526069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праці і нарахування на заробітну плату
32075,6
74,5%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4835752456729834"/>
                  <c:y val="0.1963029631277448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Предмети, матеріали, обладнання та інвентар
605,1
1,4%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1430908954346508"/>
                  <c:y val="0.1552012996327702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Продукти харчування
519,6
1,2%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0.12762198871402225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послуг (крім комунальних)
764,9
1,8%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-0.1456641068014646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електроенергії
451,2
1.0%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6.59004892906905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водопостачання та водовідведення 
32,9
0.1%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-0.1594408800751757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Оплата інших енергоносіїв
551,0
1,3%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1.9723865877712033E-3"/>
                  <c:y val="-0.16100239784841708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Поточні трансферти
2096,7
4.9%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1.6162077373464413E-2"/>
                  <c:y val="-0.1995568840931920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Соціальне забезпечення
306,2
0.7%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4.2540651353492054E-2"/>
                  <c:y val="-0.2635377985159262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Видатки на відрядження
17,6
0.0%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12009489198465577"/>
                  <c:y val="-3.88948835099316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Медикаменти
0,0
0.0%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0.21046265666495831"/>
                  <c:y val="-9.715449920611775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 поточні видатки
31,1
0.1%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16746540558169873"/>
                  <c:y val="-0.1968414827776157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Дослідження і розробки, окремі заходи по реалізації державних програм
51,7
0.1%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0959603382910483"/>
                  <c:y val="-0.223659473121415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Придбання обладнання і предметів довгострокового користування
399,9
0,9%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19314325477053451"/>
                  <c:y val="-1.7022385118855069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8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uk-UA"/>
                      <a:t>Капітальний ремонт інших об"єктів
3382,5
7,9%</a:t>
                    </a:r>
                  </a:p>
                </c:rich>
              </c:tx>
              <c:numFmt formatCode="0.0%" sourceLinked="0"/>
              <c:spPr>
                <a:noFill/>
                <a:ln w="25399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27157371600739255"/>
                  <c:y val="-0.1098997116101228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Реконструкція та реставрація інших об'єктів
1683,4
3.9%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5673366384757474"/>
                  <c:y val="-2.167784582482746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Капітальні трансферти органам державного управління інших рівнів
100,0
0.2%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39857155633323621"/>
                  <c:y val="8.589789702213150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29399358047277074"/>
                  <c:y val="0.2146662102019856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baseline="0">
                    <a:solidFill>
                      <a:srgbClr val="12066E"/>
                    </a:solidFill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інших об'єктів</c:v>
                </c:pt>
                <c:pt idx="15">
                  <c:v>Реконструкція та реставрація інших об'єктів</c:v>
                </c:pt>
                <c:pt idx="16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7"/>
                <c:pt idx="0">
                  <c:v>78480.800000000003</c:v>
                </c:pt>
                <c:pt idx="1">
                  <c:v>3189.4</c:v>
                </c:pt>
                <c:pt idx="2">
                  <c:v>1501</c:v>
                </c:pt>
                <c:pt idx="3">
                  <c:v>4500.6000000000004</c:v>
                </c:pt>
                <c:pt idx="4">
                  <c:v>1087.4000000000001</c:v>
                </c:pt>
                <c:pt idx="5">
                  <c:v>169.9</c:v>
                </c:pt>
                <c:pt idx="6">
                  <c:v>6971.7</c:v>
                </c:pt>
                <c:pt idx="7">
                  <c:v>5325.7</c:v>
                </c:pt>
                <c:pt idx="8">
                  <c:v>733.9</c:v>
                </c:pt>
                <c:pt idx="9">
                  <c:v>28.1</c:v>
                </c:pt>
                <c:pt idx="10">
                  <c:v>9.6999999999999993</c:v>
                </c:pt>
                <c:pt idx="11">
                  <c:v>83.8</c:v>
                </c:pt>
                <c:pt idx="12">
                  <c:v>223.3</c:v>
                </c:pt>
                <c:pt idx="13">
                  <c:v>6621.2</c:v>
                </c:pt>
                <c:pt idx="14">
                  <c:v>1267.8</c:v>
                </c:pt>
                <c:pt idx="15">
                  <c:v>3536.5</c:v>
                </c:pt>
                <c:pt idx="16">
                  <c:v>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>
        <a:solidFill>
          <a:srgbClr val="92D050"/>
        </a:solidFill>
      </dgm:spPr>
      <dgm:t>
        <a:bodyPr/>
        <a:lstStyle/>
        <a:p>
          <a:pPr algn="l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кв.2020 р.    -    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10846,2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кв. 2021 р. -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12396,6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- 114,3% ( +1550,4 тис.грн.)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Ang="0" custScaleX="154346" custScaleY="66130" custLinFactX="-7640" custLinFactNeighborX="-100000" custLinFactNeighborY="157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60898" custLinFactNeighborY="96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22EF6854-0B4C-4CD8-985F-B41767DB0601}" type="presOf" srcId="{6EA37E67-6319-439B-AFD7-C1578390A8B6}" destId="{DDFB2AF7-E88C-47B4-99D4-C5B6D3627C29}" srcOrd="0" destOrd="0" presId="urn:microsoft.com/office/officeart/2005/8/layout/list1"/>
    <dgm:cxn modelId="{7CA2CECA-D496-44B3-AC8E-CDB659A89A00}" type="presOf" srcId="{80F89128-A270-4E35-8BB5-1193001BD9DF}" destId="{E362D7CE-76E0-4520-AB62-95E29D806260}" srcOrd="0" destOrd="0" presId="urn:microsoft.com/office/officeart/2005/8/layout/list1"/>
    <dgm:cxn modelId="{E173A98B-6D0D-49D6-8365-40BF8F5E8143}" type="presOf" srcId="{80F89128-A270-4E35-8BB5-1193001BD9DF}" destId="{0136F0A0-1633-41C1-B81E-21BD6F5D1141}" srcOrd="1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8FF164F0-C556-4D9A-898E-00571BF79B71}" type="presOf" srcId="{7E930DB5-1627-4D26-9707-8573EC203450}" destId="{F689546F-44F6-4204-B523-DF54E65B16D0}" srcOrd="0" destOrd="0" presId="urn:microsoft.com/office/officeart/2005/8/layout/list1"/>
    <dgm:cxn modelId="{D23A6ABC-EDD5-4FB5-ABBA-8AADD717BBAA}" type="presOf" srcId="{7E930DB5-1627-4D26-9707-8573EC203450}" destId="{DEFD212E-F27A-45AB-99D4-5144C70CD988}" srcOrd="1" destOrd="0" presId="urn:microsoft.com/office/officeart/2005/8/layout/list1"/>
    <dgm:cxn modelId="{E3CE25EF-54DC-4D40-AD6A-FF3B6163622D}" type="presOf" srcId="{6EA37E67-6319-439B-AFD7-C1578390A8B6}" destId="{AA06FE2E-9EB6-4CDB-ADA3-CD3B058B323C}" srcOrd="1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68726A17-E9CF-4236-98E8-6467C178036E}" type="presOf" srcId="{4D1528FF-AE9C-40E5-9CCC-E3DF855B6E26}" destId="{4178E824-0EAB-4F8A-8B4D-F9294862A670}" srcOrd="0" destOrd="0" presId="urn:microsoft.com/office/officeart/2005/8/layout/list1"/>
    <dgm:cxn modelId="{2D869693-1CA8-445B-A21A-900D46621BF2}" type="presParOf" srcId="{4178E824-0EAB-4F8A-8B4D-F9294862A670}" destId="{CE113277-B94E-45E9-B4FB-1BC658EB3BDF}" srcOrd="0" destOrd="0" presId="urn:microsoft.com/office/officeart/2005/8/layout/list1"/>
    <dgm:cxn modelId="{09750C3F-A2D0-4C73-BC1B-D4D88B45467F}" type="presParOf" srcId="{CE113277-B94E-45E9-B4FB-1BC658EB3BDF}" destId="{F689546F-44F6-4204-B523-DF54E65B16D0}" srcOrd="0" destOrd="0" presId="urn:microsoft.com/office/officeart/2005/8/layout/list1"/>
    <dgm:cxn modelId="{7E9752BB-FFDD-4018-8B06-1B4FA7970EE6}" type="presParOf" srcId="{CE113277-B94E-45E9-B4FB-1BC658EB3BDF}" destId="{DEFD212E-F27A-45AB-99D4-5144C70CD988}" srcOrd="1" destOrd="0" presId="urn:microsoft.com/office/officeart/2005/8/layout/list1"/>
    <dgm:cxn modelId="{F7DD9029-1DE7-4B27-B63E-2A64F38A7731}" type="presParOf" srcId="{4178E824-0EAB-4F8A-8B4D-F9294862A670}" destId="{B723F7FE-B225-446C-AAD6-5797DCD4D0BB}" srcOrd="1" destOrd="0" presId="urn:microsoft.com/office/officeart/2005/8/layout/list1"/>
    <dgm:cxn modelId="{6DCC3555-4DD9-4E6C-9F79-73A5883F8419}" type="presParOf" srcId="{4178E824-0EAB-4F8A-8B4D-F9294862A670}" destId="{DC827496-DA42-4BFD-B5E4-668235A59E20}" srcOrd="2" destOrd="0" presId="urn:microsoft.com/office/officeart/2005/8/layout/list1"/>
    <dgm:cxn modelId="{A0ACBEEF-D328-4931-A449-C25442C1EE32}" type="presParOf" srcId="{4178E824-0EAB-4F8A-8B4D-F9294862A670}" destId="{4C54389D-DFA5-47B0-B3FC-CAB600637888}" srcOrd="3" destOrd="0" presId="urn:microsoft.com/office/officeart/2005/8/layout/list1"/>
    <dgm:cxn modelId="{83036AD7-64A3-4F51-9800-9CD2D40C63C7}" type="presParOf" srcId="{4178E824-0EAB-4F8A-8B4D-F9294862A670}" destId="{63E8A1F7-C744-44D8-B43A-27BB990ECBAF}" srcOrd="4" destOrd="0" presId="urn:microsoft.com/office/officeart/2005/8/layout/list1"/>
    <dgm:cxn modelId="{FD0F603C-14D8-4094-A444-91EFB9EC358D}" type="presParOf" srcId="{63E8A1F7-C744-44D8-B43A-27BB990ECBAF}" destId="{DDFB2AF7-E88C-47B4-99D4-C5B6D3627C29}" srcOrd="0" destOrd="0" presId="urn:microsoft.com/office/officeart/2005/8/layout/list1"/>
    <dgm:cxn modelId="{EBE588F2-8E24-4305-8438-CDC75F94DB5A}" type="presParOf" srcId="{63E8A1F7-C744-44D8-B43A-27BB990ECBAF}" destId="{AA06FE2E-9EB6-4CDB-ADA3-CD3B058B323C}" srcOrd="1" destOrd="0" presId="urn:microsoft.com/office/officeart/2005/8/layout/list1"/>
    <dgm:cxn modelId="{325F742B-8D12-4D73-A006-4CC713DDDC29}" type="presParOf" srcId="{4178E824-0EAB-4F8A-8B4D-F9294862A670}" destId="{60612942-5B55-4169-A0AE-877E4F2F3AF1}" srcOrd="5" destOrd="0" presId="urn:microsoft.com/office/officeart/2005/8/layout/list1"/>
    <dgm:cxn modelId="{2536925A-972E-4D1E-9343-7F7CDE7E486B}" type="presParOf" srcId="{4178E824-0EAB-4F8A-8B4D-F9294862A670}" destId="{298D072D-732E-45E1-B61E-2D9E2845DA40}" srcOrd="6" destOrd="0" presId="urn:microsoft.com/office/officeart/2005/8/layout/list1"/>
    <dgm:cxn modelId="{FFF9F150-268A-4241-A67D-6777C74595F0}" type="presParOf" srcId="{4178E824-0EAB-4F8A-8B4D-F9294862A670}" destId="{9FB93C63-EB97-4CD1-BB6B-4E9264FF488D}" srcOrd="7" destOrd="0" presId="urn:microsoft.com/office/officeart/2005/8/layout/list1"/>
    <dgm:cxn modelId="{77AECDE1-2131-4C0B-B90B-07DDAE38523B}" type="presParOf" srcId="{4178E824-0EAB-4F8A-8B4D-F9294862A670}" destId="{7B8700B7-44FE-43A4-8D8E-508592351726}" srcOrd="8" destOrd="0" presId="urn:microsoft.com/office/officeart/2005/8/layout/list1"/>
    <dgm:cxn modelId="{75E66E7F-71E6-455F-8873-F2B8707CBFE6}" type="presParOf" srcId="{7B8700B7-44FE-43A4-8D8E-508592351726}" destId="{E362D7CE-76E0-4520-AB62-95E29D806260}" srcOrd="0" destOrd="0" presId="urn:microsoft.com/office/officeart/2005/8/layout/list1"/>
    <dgm:cxn modelId="{10E1EE70-B65B-4316-9F69-245AC70CF24C}" type="presParOf" srcId="{7B8700B7-44FE-43A4-8D8E-508592351726}" destId="{0136F0A0-1633-41C1-B81E-21BD6F5D1141}" srcOrd="1" destOrd="0" presId="urn:microsoft.com/office/officeart/2005/8/layout/list1"/>
    <dgm:cxn modelId="{B96C7CBE-637E-4BA5-92D4-2993A410F1CE}" type="presParOf" srcId="{4178E824-0EAB-4F8A-8B4D-F9294862A670}" destId="{7F1384B6-EB32-4E6F-AF31-EDEC34E18B8A}" srcOrd="9" destOrd="0" presId="urn:microsoft.com/office/officeart/2005/8/layout/list1"/>
    <dgm:cxn modelId="{5C5E5D18-FF2B-44C3-BBD2-602FD5F1F0EC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2020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883,5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122,0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(+194,8 тис.грн.)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кв.2021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1078,3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 custLinFactNeighborX="522" custLinFactNeighborY="-36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69298" custLinFactY="100000" custLinFactNeighborY="136382"/>
      <dgm:spPr/>
    </dgm:pt>
  </dgm:ptLst>
  <dgm:cxnLst>
    <dgm:cxn modelId="{4E887B08-E728-4BC3-AD07-48BDD9D25F46}" type="presOf" srcId="{F3B87DBF-656F-4CC6-9990-C113FA0B16D6}" destId="{92E200D2-BF6A-406B-991E-DEF1A3D6F8B7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05A692C8-4F74-4C17-A45D-5DABBC23A3C6}" type="presOf" srcId="{34DC053F-1D54-492B-8335-CD8C939D1DA7}" destId="{FB664D42-0A4B-4C14-AB77-AC9CF1CDB986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795FF391-D276-44FA-8A90-5D1D50DD8211}" type="presOf" srcId="{018E694E-2160-46CF-8DEC-94977973E799}" destId="{AA2C7FBE-A683-447C-98C1-6693C7463562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2C7B7713-A2CA-4195-BCC9-CC801F7F6B85}" type="presOf" srcId="{084E3DDC-0DBD-4530-A7F3-0297E20F11AC}" destId="{9BE461BD-92E5-458A-A0FD-39360F5A2659}" srcOrd="0" destOrd="0" presId="urn:microsoft.com/office/officeart/2005/8/layout/hList3"/>
    <dgm:cxn modelId="{127173A6-00CE-4212-A132-D1FE3067CE4E}" type="presOf" srcId="{B97AC598-08D0-4456-AFFD-A66DB36EEAB9}" destId="{EE63E7A9-C424-4EE0-87C3-09471F56FF67}" srcOrd="0" destOrd="0" presId="urn:microsoft.com/office/officeart/2005/8/layout/hList3"/>
    <dgm:cxn modelId="{91C3138B-7222-4FAA-A9F0-0DBA7E5C69A8}" type="presParOf" srcId="{FB664D42-0A4B-4C14-AB77-AC9CF1CDB986}" destId="{9BE461BD-92E5-458A-A0FD-39360F5A2659}" srcOrd="0" destOrd="0" presId="urn:microsoft.com/office/officeart/2005/8/layout/hList3"/>
    <dgm:cxn modelId="{17E184D4-81A4-4815-A91C-97158F869E5D}" type="presParOf" srcId="{FB664D42-0A4B-4C14-AB77-AC9CF1CDB986}" destId="{ED6D801B-B9BA-4DB3-9EE7-A35FF80579B6}" srcOrd="1" destOrd="0" presId="urn:microsoft.com/office/officeart/2005/8/layout/hList3"/>
    <dgm:cxn modelId="{6F3B6588-B49A-431F-A21B-72B223066971}" type="presParOf" srcId="{ED6D801B-B9BA-4DB3-9EE7-A35FF80579B6}" destId="{AA2C7FBE-A683-447C-98C1-6693C7463562}" srcOrd="0" destOrd="0" presId="urn:microsoft.com/office/officeart/2005/8/layout/hList3"/>
    <dgm:cxn modelId="{C63762F3-941F-4E71-BEC1-CE23323C6852}" type="presParOf" srcId="{ED6D801B-B9BA-4DB3-9EE7-A35FF80579B6}" destId="{92E200D2-BF6A-406B-991E-DEF1A3D6F8B7}" srcOrd="1" destOrd="0" presId="urn:microsoft.com/office/officeart/2005/8/layout/hList3"/>
    <dgm:cxn modelId="{C6057E08-D65B-4449-BAFA-5BB1F5685A5B}" type="presParOf" srcId="{ED6D801B-B9BA-4DB3-9EE7-A35FF80579B6}" destId="{EE63E7A9-C424-4EE0-87C3-09471F56FF67}" srcOrd="2" destOrd="0" presId="urn:microsoft.com/office/officeart/2005/8/layout/hList3"/>
    <dgm:cxn modelId="{BE7148A3-CEE1-4625-9A0B-7B8FF353E51B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2020 року  -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3294,2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endParaRPr lang="ru-RU" sz="1800" b="1" i="1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156,9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(+1876,0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2021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5170,2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 custLinFactNeighborX="19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38247" custScaleY="103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7B133E6B-E90A-49BE-973C-8E22F611D162}" type="presOf" srcId="{084E3DDC-0DBD-4530-A7F3-0297E20F11AC}" destId="{9BE461BD-92E5-458A-A0FD-39360F5A2659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FD12BE26-33D6-4CB0-B04C-C3099A216792}" type="presOf" srcId="{34DC053F-1D54-492B-8335-CD8C939D1DA7}" destId="{FB664D42-0A4B-4C14-AB77-AC9CF1CDB986}" srcOrd="0" destOrd="0" presId="urn:microsoft.com/office/officeart/2005/8/layout/hList3"/>
    <dgm:cxn modelId="{D42FB8A8-81B7-4F55-8D53-E493A7FED8B3}" type="presOf" srcId="{F3B87DBF-656F-4CC6-9990-C113FA0B16D6}" destId="{92E200D2-BF6A-406B-991E-DEF1A3D6F8B7}" srcOrd="0" destOrd="0" presId="urn:microsoft.com/office/officeart/2005/8/layout/hList3"/>
    <dgm:cxn modelId="{7E01DB34-EADD-4B91-B672-229E6EBED74B}" type="presOf" srcId="{B97AC598-08D0-4456-AFFD-A66DB36EEAB9}" destId="{EE63E7A9-C424-4EE0-87C3-09471F56FF67}" srcOrd="0" destOrd="0" presId="urn:microsoft.com/office/officeart/2005/8/layout/hList3"/>
    <dgm:cxn modelId="{377A5BF4-F092-4284-87B3-87D5D0A9369C}" type="presOf" srcId="{018E694E-2160-46CF-8DEC-94977973E799}" destId="{AA2C7FBE-A683-447C-98C1-6693C7463562}" srcOrd="0" destOrd="0" presId="urn:microsoft.com/office/officeart/2005/8/layout/hList3"/>
    <dgm:cxn modelId="{2C1D49AD-AF24-46E3-818F-82449CB70F1A}" type="presParOf" srcId="{FB664D42-0A4B-4C14-AB77-AC9CF1CDB986}" destId="{9BE461BD-92E5-458A-A0FD-39360F5A2659}" srcOrd="0" destOrd="0" presId="urn:microsoft.com/office/officeart/2005/8/layout/hList3"/>
    <dgm:cxn modelId="{AE7EEB0B-787E-420E-A5DA-7A784188C3FC}" type="presParOf" srcId="{FB664D42-0A4B-4C14-AB77-AC9CF1CDB986}" destId="{ED6D801B-B9BA-4DB3-9EE7-A35FF80579B6}" srcOrd="1" destOrd="0" presId="urn:microsoft.com/office/officeart/2005/8/layout/hList3"/>
    <dgm:cxn modelId="{7AB40FA8-9150-4A37-8074-05DE2451CFD7}" type="presParOf" srcId="{ED6D801B-B9BA-4DB3-9EE7-A35FF80579B6}" destId="{AA2C7FBE-A683-447C-98C1-6693C7463562}" srcOrd="0" destOrd="0" presId="urn:microsoft.com/office/officeart/2005/8/layout/hList3"/>
    <dgm:cxn modelId="{C589EAD2-81D1-4DA3-B5B5-283FC8E5E686}" type="presParOf" srcId="{ED6D801B-B9BA-4DB3-9EE7-A35FF80579B6}" destId="{92E200D2-BF6A-406B-991E-DEF1A3D6F8B7}" srcOrd="1" destOrd="0" presId="urn:microsoft.com/office/officeart/2005/8/layout/hList3"/>
    <dgm:cxn modelId="{E46312C4-DE9A-44DC-BBC1-2B991BBEE6FF}" type="presParOf" srcId="{ED6D801B-B9BA-4DB3-9EE7-A35FF80579B6}" destId="{EE63E7A9-C424-4EE0-87C3-09471F56FF67}" srcOrd="2" destOrd="0" presId="urn:microsoft.com/office/officeart/2005/8/layout/hList3"/>
    <dgm:cxn modelId="{ED9CAE95-3B08-4E3E-9CED-34CC3CF50406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400" b="1"/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кв. 2020 року 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129,3 тис.грн.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400" b="1"/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кв. 2020року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2595,4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2032,9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400" b="1"/>
            <a:t>Єдиний податок з с/г 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кв. 2020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1597,3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3067,5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120,1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pPr algn="ctr"/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- 92,9%,              (-9,2 тис.грн.)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78,3%,                 (-562,5 тис.грн.)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192,0%,  (+1470,2 тис.грн.) 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  <dgm:t>
        <a:bodyPr/>
        <a:lstStyle/>
        <a:p>
          <a:endParaRPr lang="uk-UA"/>
        </a:p>
      </dgm:t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  <dgm:t>
        <a:bodyPr/>
        <a:lstStyle/>
        <a:p>
          <a:endParaRPr lang="uk-UA"/>
        </a:p>
      </dgm:t>
    </dgm:pt>
    <dgm:pt modelId="{EB7F96A0-D7E4-4053-9680-FC5E88E08F70}" type="pres">
      <dgm:prSet presAssocID="{D3FDBD3B-51B0-41D5-8F1F-238FFFB56A91}" presName="theInnerList" presStyleCnt="0"/>
      <dgm:spPr/>
      <dgm:t>
        <a:bodyPr/>
        <a:lstStyle/>
        <a:p>
          <a:endParaRPr lang="uk-UA"/>
        </a:p>
      </dgm:t>
    </dgm:pt>
    <dgm:pt modelId="{B995AA39-D88B-4F5D-A2D0-044F059CE9BB}" type="pres">
      <dgm:prSet presAssocID="{FBD828C5-1EEA-4259-802F-0F316DB2AD3B}" presName="childNode" presStyleLbl="node1" presStyleIdx="0" presStyleCnt="9" custScaleX="121532" custScaleY="81854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  <dgm:t>
        <a:bodyPr/>
        <a:lstStyle/>
        <a:p>
          <a:endParaRPr lang="uk-UA"/>
        </a:p>
      </dgm:t>
    </dgm:pt>
    <dgm:pt modelId="{2C596296-6704-4CC8-B9BF-52C838285E88}" type="pres">
      <dgm:prSet presAssocID="{6EDC4DD3-7BE0-466A-A8A1-307F476A455E}" presName="childNode" presStyleLbl="node1" presStyleIdx="1" presStyleCnt="9" custScaleX="119647" custScaleY="9128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  <dgm:t>
        <a:bodyPr/>
        <a:lstStyle/>
        <a:p>
          <a:endParaRPr lang="uk-UA"/>
        </a:p>
      </dgm:t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  <dgm:t>
        <a:bodyPr/>
        <a:lstStyle/>
        <a:p>
          <a:endParaRPr lang="uk-UA"/>
        </a:p>
      </dgm:t>
    </dgm:pt>
    <dgm:pt modelId="{C0D08081-2729-49B6-BDC0-E0A5F7D256AE}" type="pres">
      <dgm:prSet presAssocID="{0DF7D2E2-A6FC-4AB8-B605-61D4BBD64FD0}" presName="compNode" presStyleCnt="0"/>
      <dgm:spPr/>
      <dgm:t>
        <a:bodyPr/>
        <a:lstStyle/>
        <a:p>
          <a:endParaRPr lang="uk-UA"/>
        </a:p>
      </dgm:t>
    </dgm:pt>
    <dgm:pt modelId="{E9F66DB0-F6F9-4B80-B84F-9BDE22F808C2}" type="pres">
      <dgm:prSet presAssocID="{0DF7D2E2-A6FC-4AB8-B605-61D4BBD64FD0}" presName="aNode" presStyleLbl="bgShp" presStyleIdx="1" presStyleCnt="3" custLinFactNeighborX="-478" custLinFactNeighborY="-3125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  <dgm:t>
        <a:bodyPr/>
        <a:lstStyle/>
        <a:p>
          <a:endParaRPr lang="uk-UA"/>
        </a:p>
      </dgm:t>
    </dgm:pt>
    <dgm:pt modelId="{CDF03F4F-2E06-4FBA-B1B3-26C3CC68D443}" type="pres">
      <dgm:prSet presAssocID="{0DF7D2E2-A6FC-4AB8-B605-61D4BBD64FD0}" presName="theInnerList" presStyleCnt="0"/>
      <dgm:spPr/>
      <dgm:t>
        <a:bodyPr/>
        <a:lstStyle/>
        <a:p>
          <a:endParaRPr lang="uk-UA"/>
        </a:p>
      </dgm:t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  <dgm:t>
        <a:bodyPr/>
        <a:lstStyle/>
        <a:p>
          <a:endParaRPr lang="uk-UA"/>
        </a:p>
      </dgm:t>
    </dgm:pt>
    <dgm:pt modelId="{74A7BFD7-DE4B-4CEF-9E5B-9E14C4720914}" type="pres">
      <dgm:prSet presAssocID="{E42AA4E4-4CE3-46E9-B9CE-E3C3949630C3}" presName="childNode" presStyleLbl="node1" presStyleIdx="4" presStyleCnt="9" custScaleX="120589" custScaleY="51714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  <dgm:t>
        <a:bodyPr/>
        <a:lstStyle/>
        <a:p>
          <a:endParaRPr lang="uk-UA"/>
        </a:p>
      </dgm:t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  <dgm:t>
        <a:bodyPr/>
        <a:lstStyle/>
        <a:p>
          <a:endParaRPr lang="uk-UA"/>
        </a:p>
      </dgm:t>
    </dgm:pt>
    <dgm:pt modelId="{8CFC5A69-DB1C-4B06-8D0A-83F36398D54F}" type="pres">
      <dgm:prSet presAssocID="{3674E33D-8B27-4C1A-B652-68D025B97537}" presName="compNode" presStyleCnt="0"/>
      <dgm:spPr/>
      <dgm:t>
        <a:bodyPr/>
        <a:lstStyle/>
        <a:p>
          <a:endParaRPr lang="uk-UA"/>
        </a:p>
      </dgm:t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  <dgm:t>
        <a:bodyPr/>
        <a:lstStyle/>
        <a:p>
          <a:endParaRPr lang="uk-UA"/>
        </a:p>
      </dgm:t>
    </dgm:pt>
    <dgm:pt modelId="{B90CBA9E-7A98-4AF0-B126-8E3C13744470}" type="pres">
      <dgm:prSet presAssocID="{3674E33D-8B27-4C1A-B652-68D025B97537}" presName="theInnerList" presStyleCnt="0"/>
      <dgm:spPr/>
      <dgm:t>
        <a:bodyPr/>
        <a:lstStyle/>
        <a:p>
          <a:endParaRPr lang="uk-UA"/>
        </a:p>
      </dgm:t>
    </dgm:pt>
    <dgm:pt modelId="{6F85DA38-8515-4187-81C6-3C6D9C0CF1ED}" type="pres">
      <dgm:prSet presAssocID="{7E1830F2-5972-45A9-92D5-3FC9D6FE639D}" presName="childNode" presStyleLbl="node1" presStyleIdx="6" presStyleCnt="9" custScaleX="122022" custScaleY="42543" custLinFactNeighborX="2260" custLinFactNeighborY="-589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  <dgm:t>
        <a:bodyPr/>
        <a:lstStyle/>
        <a:p>
          <a:endParaRPr lang="uk-UA"/>
        </a:p>
      </dgm:t>
    </dgm:pt>
    <dgm:pt modelId="{9C61B4A9-59A6-41A7-A5DA-A4F88C9B05EC}" type="pres">
      <dgm:prSet presAssocID="{F3C47FE1-0D94-4F33-89B1-FD62F21DDE3D}" presName="childNode" presStyleLbl="node1" presStyleIdx="7" presStyleCnt="9" custScaleX="121532" custScaleY="50258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  <dgm:t>
        <a:bodyPr/>
        <a:lstStyle/>
        <a:p>
          <a:endParaRPr lang="uk-UA"/>
        </a:p>
      </dgm:t>
    </dgm:pt>
    <dgm:pt modelId="{95088396-CEC1-45DD-804F-0F41AADB86E3}" type="pres">
      <dgm:prSet presAssocID="{FB958280-55D0-4252-BB34-22CB3DCE2071}" presName="childNode" presStyleLbl="node1" presStyleIdx="8" presStyleCnt="9" custScaleX="125976" custScaleY="53117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89F778-0A43-450B-81C0-29BEEE220933}" type="presOf" srcId="{83BB2042-9755-485B-9A0D-CEA855E2E913}" destId="{7E0E7086-0779-4EE4-90A2-E516F5E4B779}" srcOrd="0" destOrd="0" presId="urn:microsoft.com/office/officeart/2005/8/layout/lProcess2"/>
    <dgm:cxn modelId="{A22EA1D7-BF66-4C95-9518-C93EB737921B}" type="presOf" srcId="{E42AA4E4-4CE3-46E9-B9CE-E3C3949630C3}" destId="{74A7BFD7-DE4B-4CEF-9E5B-9E14C4720914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0C5BD67B-6510-4891-9B88-2C93E07F73FA}" type="presOf" srcId="{58D6A665-17B7-4C4A-B82C-8883D374452F}" destId="{57A443D7-5825-44BD-A5ED-C6E1FF409E42}" srcOrd="0" destOrd="0" presId="urn:microsoft.com/office/officeart/2005/8/layout/lProcess2"/>
    <dgm:cxn modelId="{01192443-7DCD-4D49-8867-017B951AE4D0}" type="presOf" srcId="{ACB2C5C0-1D57-482F-9B3E-5B1CEA3D08BA}" destId="{C9DFF695-92BA-40E1-BF2F-96E68E19F27E}" srcOrd="0" destOrd="0" presId="urn:microsoft.com/office/officeart/2005/8/layout/lProcess2"/>
    <dgm:cxn modelId="{8F37F9DD-AA7A-4C82-A9BF-0103DB8A4F8A}" type="presOf" srcId="{3674E33D-8B27-4C1A-B652-68D025B97537}" destId="{1D81B244-0EAF-4E6E-960F-3EF07835721E}" srcOrd="1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3F4ADF09-1C3D-4B11-A891-0E7EB444A2B7}" type="presOf" srcId="{92B33AD4-C2C2-48C0-8BC9-661ABA694C1C}" destId="{22A2A73C-654B-4587-AA91-934DBD585DC4}" srcOrd="0" destOrd="0" presId="urn:microsoft.com/office/officeart/2005/8/layout/lProcess2"/>
    <dgm:cxn modelId="{007182A7-D5CA-4FE3-8E6C-954C207679FF}" type="presOf" srcId="{D3FDBD3B-51B0-41D5-8F1F-238FFFB56A91}" destId="{614F77F8-D6F7-450F-BA8F-44B3EE5E93A3}" srcOrd="0" destOrd="0" presId="urn:microsoft.com/office/officeart/2005/8/layout/lProcess2"/>
    <dgm:cxn modelId="{7370C032-87C3-4763-AB01-BB7698298372}" type="presOf" srcId="{D3FDBD3B-51B0-41D5-8F1F-238FFFB56A91}" destId="{973D5DDF-B9A8-408E-BA24-B2094E487AA5}" srcOrd="1" destOrd="0" presId="urn:microsoft.com/office/officeart/2005/8/layout/lProcess2"/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A3D7D758-594D-4214-95B5-8A3C053CA24E}" type="presOf" srcId="{6EDC4DD3-7BE0-466A-A8A1-307F476A455E}" destId="{2C596296-6704-4CC8-B9BF-52C838285E88}" srcOrd="0" destOrd="0" presId="urn:microsoft.com/office/officeart/2005/8/layout/lProcess2"/>
    <dgm:cxn modelId="{847B5663-43C0-4AB2-9ED1-5630F3C12274}" type="presOf" srcId="{3674E33D-8B27-4C1A-B652-68D025B97537}" destId="{173929A1-967C-4CFB-9E9C-8B27F18FDFFF}" srcOrd="0" destOrd="0" presId="urn:microsoft.com/office/officeart/2005/8/layout/lProcess2"/>
    <dgm:cxn modelId="{896C15BA-F858-42D0-ABBF-7EA11C767E6C}" type="presOf" srcId="{FB958280-55D0-4252-BB34-22CB3DCE2071}" destId="{95088396-CEC1-45DD-804F-0F41AADB86E3}" srcOrd="0" destOrd="0" presId="urn:microsoft.com/office/officeart/2005/8/layout/lProcess2"/>
    <dgm:cxn modelId="{7ABAF35F-AF7B-4360-BBFF-B0586CEF5DFD}" type="presOf" srcId="{F3C47FE1-0D94-4F33-89B1-FD62F21DDE3D}" destId="{9C61B4A9-59A6-41A7-A5DA-A4F88C9B05EC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99A9FCCC-66F0-4D67-A77C-E0291C385AC0}" type="presOf" srcId="{0DF7D2E2-A6FC-4AB8-B605-61D4BBD64FD0}" destId="{E9F66DB0-F6F9-4B80-B84F-9BDE22F808C2}" srcOrd="0" destOrd="0" presId="urn:microsoft.com/office/officeart/2005/8/layout/lProcess2"/>
    <dgm:cxn modelId="{342BAB35-B567-416C-B9A9-0F6CB58C845C}" type="presOf" srcId="{7E1830F2-5972-45A9-92D5-3FC9D6FE639D}" destId="{6F85DA38-8515-4187-81C6-3C6D9C0CF1ED}" srcOrd="0" destOrd="0" presId="urn:microsoft.com/office/officeart/2005/8/layout/lProcess2"/>
    <dgm:cxn modelId="{4D9004B4-5A78-4B41-8800-06F5EC37BF85}" type="presOf" srcId="{FBD828C5-1EEA-4259-802F-0F316DB2AD3B}" destId="{B995AA39-D88B-4F5D-A2D0-044F059CE9BB}" srcOrd="0" destOrd="0" presId="urn:microsoft.com/office/officeart/2005/8/layout/lProcess2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EA8A4758-0472-476A-9B07-5C2C14A0E48A}" type="presOf" srcId="{0DF7D2E2-A6FC-4AB8-B605-61D4BBD64FD0}" destId="{BCEE8F43-AADA-409D-B455-EB48CD74E13F}" srcOrd="1" destOrd="0" presId="urn:microsoft.com/office/officeart/2005/8/layout/lProcess2"/>
    <dgm:cxn modelId="{6E2D4F5C-8A86-437E-A692-3FC98A94406E}" type="presParOf" srcId="{C9DFF695-92BA-40E1-BF2F-96E68E19F27E}" destId="{C21BE76E-E4A4-4409-9323-DB44565DCC56}" srcOrd="0" destOrd="0" presId="urn:microsoft.com/office/officeart/2005/8/layout/lProcess2"/>
    <dgm:cxn modelId="{2A861FDD-0410-4A31-B0BF-6CB8218A99EB}" type="presParOf" srcId="{C21BE76E-E4A4-4409-9323-DB44565DCC56}" destId="{614F77F8-D6F7-450F-BA8F-44B3EE5E93A3}" srcOrd="0" destOrd="0" presId="urn:microsoft.com/office/officeart/2005/8/layout/lProcess2"/>
    <dgm:cxn modelId="{B2A2E1C6-BB21-4911-97B0-234608E9AD57}" type="presParOf" srcId="{C21BE76E-E4A4-4409-9323-DB44565DCC56}" destId="{973D5DDF-B9A8-408E-BA24-B2094E487AA5}" srcOrd="1" destOrd="0" presId="urn:microsoft.com/office/officeart/2005/8/layout/lProcess2"/>
    <dgm:cxn modelId="{A516E722-A403-4A3B-9C0F-83F41854D6A0}" type="presParOf" srcId="{C21BE76E-E4A4-4409-9323-DB44565DCC56}" destId="{B9284097-10B9-4041-A8D0-D29BD4F7724F}" srcOrd="2" destOrd="0" presId="urn:microsoft.com/office/officeart/2005/8/layout/lProcess2"/>
    <dgm:cxn modelId="{B7C88EA7-1330-44F2-B6BE-097CF7232E46}" type="presParOf" srcId="{B9284097-10B9-4041-A8D0-D29BD4F7724F}" destId="{EB7F96A0-D7E4-4053-9680-FC5E88E08F70}" srcOrd="0" destOrd="0" presId="urn:microsoft.com/office/officeart/2005/8/layout/lProcess2"/>
    <dgm:cxn modelId="{D09EBD1B-9DD8-4336-8C45-723AF9486348}" type="presParOf" srcId="{EB7F96A0-D7E4-4053-9680-FC5E88E08F70}" destId="{B995AA39-D88B-4F5D-A2D0-044F059CE9BB}" srcOrd="0" destOrd="0" presId="urn:microsoft.com/office/officeart/2005/8/layout/lProcess2"/>
    <dgm:cxn modelId="{D646FDEA-06C6-4C3C-A171-901DA07FEBFD}" type="presParOf" srcId="{EB7F96A0-D7E4-4053-9680-FC5E88E08F70}" destId="{6866DCC9-6CE8-4490-8212-350C638880B3}" srcOrd="1" destOrd="0" presId="urn:microsoft.com/office/officeart/2005/8/layout/lProcess2"/>
    <dgm:cxn modelId="{B38EDA4E-C73B-45B6-A9DD-A6C9BF65EA6E}" type="presParOf" srcId="{EB7F96A0-D7E4-4053-9680-FC5E88E08F70}" destId="{2C596296-6704-4CC8-B9BF-52C838285E88}" srcOrd="2" destOrd="0" presId="urn:microsoft.com/office/officeart/2005/8/layout/lProcess2"/>
    <dgm:cxn modelId="{6048131E-CD0B-4837-B382-6810C321850F}" type="presParOf" srcId="{EB7F96A0-D7E4-4053-9680-FC5E88E08F70}" destId="{C562686A-BA5B-411F-8E87-874D9EB8F3A2}" srcOrd="3" destOrd="0" presId="urn:microsoft.com/office/officeart/2005/8/layout/lProcess2"/>
    <dgm:cxn modelId="{C6B19CC1-A681-4A60-BBCB-CAF2DEAE3B27}" type="presParOf" srcId="{EB7F96A0-D7E4-4053-9680-FC5E88E08F70}" destId="{22A2A73C-654B-4587-AA91-934DBD585DC4}" srcOrd="4" destOrd="0" presId="urn:microsoft.com/office/officeart/2005/8/layout/lProcess2"/>
    <dgm:cxn modelId="{0478AB13-7D40-493F-B49C-586A0A0152B2}" type="presParOf" srcId="{C9DFF695-92BA-40E1-BF2F-96E68E19F27E}" destId="{8014F4B4-E489-4E21-B754-729F7E6A2F1D}" srcOrd="1" destOrd="0" presId="urn:microsoft.com/office/officeart/2005/8/layout/lProcess2"/>
    <dgm:cxn modelId="{62872A2D-6029-4464-9602-0651D8B5929E}" type="presParOf" srcId="{C9DFF695-92BA-40E1-BF2F-96E68E19F27E}" destId="{C0D08081-2729-49B6-BDC0-E0A5F7D256AE}" srcOrd="2" destOrd="0" presId="urn:microsoft.com/office/officeart/2005/8/layout/lProcess2"/>
    <dgm:cxn modelId="{4BC0798F-F4C7-4FFF-B432-BEB33C5BAED5}" type="presParOf" srcId="{C0D08081-2729-49B6-BDC0-E0A5F7D256AE}" destId="{E9F66DB0-F6F9-4B80-B84F-9BDE22F808C2}" srcOrd="0" destOrd="0" presId="urn:microsoft.com/office/officeart/2005/8/layout/lProcess2"/>
    <dgm:cxn modelId="{F6F07933-7A01-4131-9745-37858DB733CF}" type="presParOf" srcId="{C0D08081-2729-49B6-BDC0-E0A5F7D256AE}" destId="{BCEE8F43-AADA-409D-B455-EB48CD74E13F}" srcOrd="1" destOrd="0" presId="urn:microsoft.com/office/officeart/2005/8/layout/lProcess2"/>
    <dgm:cxn modelId="{23F0AC6C-384D-4271-9456-D530004B0D42}" type="presParOf" srcId="{C0D08081-2729-49B6-BDC0-E0A5F7D256AE}" destId="{9ECD4FC3-DF59-4531-8A71-18D81B93A9A3}" srcOrd="2" destOrd="0" presId="urn:microsoft.com/office/officeart/2005/8/layout/lProcess2"/>
    <dgm:cxn modelId="{1F4C88F5-2F34-4FB6-A954-1D82B6D8A7E6}" type="presParOf" srcId="{9ECD4FC3-DF59-4531-8A71-18D81B93A9A3}" destId="{CDF03F4F-2E06-4FBA-B1B3-26C3CC68D443}" srcOrd="0" destOrd="0" presId="urn:microsoft.com/office/officeart/2005/8/layout/lProcess2"/>
    <dgm:cxn modelId="{E2ABCA2C-30A4-4196-8946-46D5430F4A52}" type="presParOf" srcId="{CDF03F4F-2E06-4FBA-B1B3-26C3CC68D443}" destId="{57A443D7-5825-44BD-A5ED-C6E1FF409E42}" srcOrd="0" destOrd="0" presId="urn:microsoft.com/office/officeart/2005/8/layout/lProcess2"/>
    <dgm:cxn modelId="{F46771B5-81A3-49BE-9790-EEED098C2124}" type="presParOf" srcId="{CDF03F4F-2E06-4FBA-B1B3-26C3CC68D443}" destId="{43003354-745F-4015-ADE1-204DC83569E6}" srcOrd="1" destOrd="0" presId="urn:microsoft.com/office/officeart/2005/8/layout/lProcess2"/>
    <dgm:cxn modelId="{DF95D65F-7E56-4F7D-83A1-BBAEE996DFA6}" type="presParOf" srcId="{CDF03F4F-2E06-4FBA-B1B3-26C3CC68D443}" destId="{74A7BFD7-DE4B-4CEF-9E5B-9E14C4720914}" srcOrd="2" destOrd="0" presId="urn:microsoft.com/office/officeart/2005/8/layout/lProcess2"/>
    <dgm:cxn modelId="{304C97BB-C5F3-4A89-A50B-6BD232C0FED9}" type="presParOf" srcId="{CDF03F4F-2E06-4FBA-B1B3-26C3CC68D443}" destId="{763CD144-F6D0-4FAC-824B-6DF6C643FA50}" srcOrd="3" destOrd="0" presId="urn:microsoft.com/office/officeart/2005/8/layout/lProcess2"/>
    <dgm:cxn modelId="{AF5920A8-422B-4F07-8411-78BB5817FBCE}" type="presParOf" srcId="{CDF03F4F-2E06-4FBA-B1B3-26C3CC68D443}" destId="{7E0E7086-0779-4EE4-90A2-E516F5E4B779}" srcOrd="4" destOrd="0" presId="urn:microsoft.com/office/officeart/2005/8/layout/lProcess2"/>
    <dgm:cxn modelId="{17D84A06-DFC5-4129-9057-7C65CE8DADE8}" type="presParOf" srcId="{C9DFF695-92BA-40E1-BF2F-96E68E19F27E}" destId="{EE05B2E9-1CB8-4F75-AE06-E7B38DD032E3}" srcOrd="3" destOrd="0" presId="urn:microsoft.com/office/officeart/2005/8/layout/lProcess2"/>
    <dgm:cxn modelId="{66F5EFD9-65F2-4BD1-96F8-9BB68C8ACF06}" type="presParOf" srcId="{C9DFF695-92BA-40E1-BF2F-96E68E19F27E}" destId="{8CFC5A69-DB1C-4B06-8D0A-83F36398D54F}" srcOrd="4" destOrd="0" presId="urn:microsoft.com/office/officeart/2005/8/layout/lProcess2"/>
    <dgm:cxn modelId="{4C4F7FAA-1AF4-4545-8A8C-7685CCB990AD}" type="presParOf" srcId="{8CFC5A69-DB1C-4B06-8D0A-83F36398D54F}" destId="{173929A1-967C-4CFB-9E9C-8B27F18FDFFF}" srcOrd="0" destOrd="0" presId="urn:microsoft.com/office/officeart/2005/8/layout/lProcess2"/>
    <dgm:cxn modelId="{035782B7-31E4-4742-A463-0675545A2F84}" type="presParOf" srcId="{8CFC5A69-DB1C-4B06-8D0A-83F36398D54F}" destId="{1D81B244-0EAF-4E6E-960F-3EF07835721E}" srcOrd="1" destOrd="0" presId="urn:microsoft.com/office/officeart/2005/8/layout/lProcess2"/>
    <dgm:cxn modelId="{FB1F8F59-753A-4ACF-8A7C-5D6C7E04FD9C}" type="presParOf" srcId="{8CFC5A69-DB1C-4B06-8D0A-83F36398D54F}" destId="{B51912BE-C637-44AE-83D6-1E023F73D763}" srcOrd="2" destOrd="0" presId="urn:microsoft.com/office/officeart/2005/8/layout/lProcess2"/>
    <dgm:cxn modelId="{D320E53E-EBE9-47B8-8A3C-D4E1FF47F785}" type="presParOf" srcId="{B51912BE-C637-44AE-83D6-1E023F73D763}" destId="{B90CBA9E-7A98-4AF0-B126-8E3C13744470}" srcOrd="0" destOrd="0" presId="urn:microsoft.com/office/officeart/2005/8/layout/lProcess2"/>
    <dgm:cxn modelId="{8D5DFAB4-53DB-486B-B73D-DBC7A7CC5AB5}" type="presParOf" srcId="{B90CBA9E-7A98-4AF0-B126-8E3C13744470}" destId="{6F85DA38-8515-4187-81C6-3C6D9C0CF1ED}" srcOrd="0" destOrd="0" presId="urn:microsoft.com/office/officeart/2005/8/layout/lProcess2"/>
    <dgm:cxn modelId="{2F4DDB67-005B-4CB2-B4E9-4821E79391D9}" type="presParOf" srcId="{B90CBA9E-7A98-4AF0-B126-8E3C13744470}" destId="{D7AD3CFA-F36E-46B2-9FCB-DC33E991051C}" srcOrd="1" destOrd="0" presId="urn:microsoft.com/office/officeart/2005/8/layout/lProcess2"/>
    <dgm:cxn modelId="{912843C2-B391-4805-A721-336767559FB2}" type="presParOf" srcId="{B90CBA9E-7A98-4AF0-B126-8E3C13744470}" destId="{9C61B4A9-59A6-41A7-A5DA-A4F88C9B05EC}" srcOrd="2" destOrd="0" presId="urn:microsoft.com/office/officeart/2005/8/layout/lProcess2"/>
    <dgm:cxn modelId="{B9C53421-96F3-4A21-ADE9-96890970FDE3}" type="presParOf" srcId="{B90CBA9E-7A98-4AF0-B126-8E3C13744470}" destId="{F4E566A6-2331-4D64-8A00-2241388C63C9}" srcOrd="3" destOrd="0" presId="urn:microsoft.com/office/officeart/2005/8/layout/lProcess2"/>
    <dgm:cxn modelId="{E1DAE241-83A6-4C88-B22C-C1F4EDE4D8F4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16314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0" y="160475"/>
          <a:ext cx="5739002" cy="429474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кв.2020 р.    -   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10846,2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0965" y="181440"/>
        <a:ext cx="5697072" cy="387544"/>
      </dsp:txXfrm>
    </dsp:sp>
    <dsp:sp modelId="{298D072D-732E-45E1-B61E-2D9E2845DA40}">
      <dsp:nvSpPr>
        <dsp:cNvPr id="0" name=""/>
        <dsp:cNvSpPr/>
      </dsp:nvSpPr>
      <dsp:spPr>
        <a:xfrm>
          <a:off x="0" y="116106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3005349"/>
              <a:satOff val="-13190"/>
              <a:lumOff val="392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93555" y="836344"/>
          <a:ext cx="5708031" cy="649440"/>
        </a:xfrm>
        <a:prstGeom prst="roundRect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кв. 2021 р. -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12396,6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5258" y="868047"/>
        <a:ext cx="5644625" cy="586034"/>
      </dsp:txXfrm>
    </dsp:sp>
    <dsp:sp modelId="{92FB4DFA-33A5-47A1-A142-B69F92122232}">
      <dsp:nvSpPr>
        <dsp:cNvPr id="0" name=""/>
        <dsp:cNvSpPr/>
      </dsp:nvSpPr>
      <dsp:spPr>
        <a:xfrm>
          <a:off x="0" y="215898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6010699"/>
              <a:satOff val="-26380"/>
              <a:lumOff val="784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17506" y="1897124"/>
          <a:ext cx="5684716" cy="649440"/>
        </a:xfrm>
        <a:prstGeom prst="roundRect">
          <a:avLst/>
        </a:prstGeom>
        <a:gradFill rotWithShape="0">
          <a:gsLst>
            <a:gs pos="0">
              <a:schemeClr val="accent5">
                <a:hueOff val="6010699"/>
                <a:satOff val="-26380"/>
                <a:lumOff val="7843"/>
                <a:alphaOff val="0"/>
                <a:shade val="51000"/>
                <a:satMod val="130000"/>
              </a:schemeClr>
            </a:gs>
            <a:gs pos="80000">
              <a:schemeClr val="accent5">
                <a:hueOff val="6010699"/>
                <a:satOff val="-26380"/>
                <a:lumOff val="7843"/>
                <a:alphaOff val="0"/>
                <a:shade val="93000"/>
                <a:satMod val="130000"/>
              </a:schemeClr>
            </a:gs>
            <a:gs pos="100000">
              <a:schemeClr val="accent5">
                <a:hueOff val="6010699"/>
                <a:satOff val="-26380"/>
                <a:lumOff val="78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- 114,3% ( +1550,4 тис.грн.) </a:t>
          </a:r>
        </a:p>
      </dsp:txBody>
      <dsp:txXfrm>
        <a:off x="149209" y="1928827"/>
        <a:ext cx="5621310" cy="5860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12282"/>
          <a:ext cx="6162675" cy="6858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</a:t>
          </a:r>
        </a:p>
      </dsp:txBody>
      <dsp:txXfrm>
        <a:off x="0" y="12282"/>
        <a:ext cx="6162675" cy="685800"/>
      </dsp:txXfrm>
    </dsp:sp>
    <dsp:sp modelId="{AA2C7FBE-A683-447C-98C1-6693C7463562}">
      <dsp:nvSpPr>
        <dsp:cNvPr id="0" name=""/>
        <dsp:cNvSpPr/>
      </dsp:nvSpPr>
      <dsp:spPr>
        <a:xfrm>
          <a:off x="695" y="698082"/>
          <a:ext cx="218207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2020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883,5 тис.грн.</a:t>
          </a:r>
        </a:p>
      </dsp:txBody>
      <dsp:txXfrm>
        <a:off x="695" y="698082"/>
        <a:ext cx="2182070" cy="1440180"/>
      </dsp:txXfrm>
    </dsp:sp>
    <dsp:sp modelId="{92E200D2-BF6A-406B-991E-DEF1A3D6F8B7}">
      <dsp:nvSpPr>
        <dsp:cNvPr id="0" name=""/>
        <dsp:cNvSpPr/>
      </dsp:nvSpPr>
      <dsp:spPr>
        <a:xfrm>
          <a:off x="2192378" y="645328"/>
          <a:ext cx="2137633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кв.2021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1078,3 тис.грн.</a:t>
          </a:r>
        </a:p>
      </dsp:txBody>
      <dsp:txXfrm>
        <a:off x="2192378" y="645328"/>
        <a:ext cx="2137633" cy="1440180"/>
      </dsp:txXfrm>
    </dsp:sp>
    <dsp:sp modelId="{EE63E7A9-C424-4EE0-87C3-09471F56FF67}">
      <dsp:nvSpPr>
        <dsp:cNvPr id="0" name=""/>
        <dsp:cNvSpPr/>
      </dsp:nvSpPr>
      <dsp:spPr>
        <a:xfrm>
          <a:off x="4320398" y="698082"/>
          <a:ext cx="184158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122,0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(+194,8 тис.грн.)</a:t>
          </a:r>
        </a:p>
      </dsp:txBody>
      <dsp:txXfrm>
        <a:off x="4320398" y="698082"/>
        <a:ext cx="1841580" cy="1440180"/>
      </dsp:txXfrm>
    </dsp:sp>
    <dsp:sp modelId="{2B51B7EF-26D3-462D-9212-E7CEBAE28676}">
      <dsp:nvSpPr>
        <dsp:cNvPr id="0" name=""/>
        <dsp:cNvSpPr/>
      </dsp:nvSpPr>
      <dsp:spPr>
        <a:xfrm flipV="1">
          <a:off x="0" y="2175109"/>
          <a:ext cx="6162675" cy="11089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448425" cy="72294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</a:t>
          </a:r>
        </a:p>
      </dsp:txBody>
      <dsp:txXfrm>
        <a:off x="0" y="0"/>
        <a:ext cx="6448425" cy="722947"/>
      </dsp:txXfrm>
    </dsp:sp>
    <dsp:sp modelId="{AA2C7FBE-A683-447C-98C1-6693C7463562}">
      <dsp:nvSpPr>
        <dsp:cNvPr id="0" name=""/>
        <dsp:cNvSpPr/>
      </dsp:nvSpPr>
      <dsp:spPr>
        <a:xfrm>
          <a:off x="44151" y="705154"/>
          <a:ext cx="2254702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2020 року  -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3294,2 тис.грн.</a:t>
          </a:r>
        </a:p>
      </dsp:txBody>
      <dsp:txXfrm>
        <a:off x="44151" y="705154"/>
        <a:ext cx="2254702" cy="1518189"/>
      </dsp:txXfrm>
    </dsp:sp>
    <dsp:sp modelId="{92E200D2-BF6A-406B-991E-DEF1A3D6F8B7}">
      <dsp:nvSpPr>
        <dsp:cNvPr id="0" name=""/>
        <dsp:cNvSpPr/>
      </dsp:nvSpPr>
      <dsp:spPr>
        <a:xfrm>
          <a:off x="2284656" y="722947"/>
          <a:ext cx="2036296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кв. 2021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5170,2 тис.грн.</a:t>
          </a:r>
        </a:p>
      </dsp:txBody>
      <dsp:txXfrm>
        <a:off x="2284656" y="722947"/>
        <a:ext cx="2036296" cy="1518189"/>
      </dsp:txXfrm>
    </dsp:sp>
    <dsp:sp modelId="{EE63E7A9-C424-4EE0-87C3-09471F56FF67}">
      <dsp:nvSpPr>
        <dsp:cNvPr id="0" name=""/>
        <dsp:cNvSpPr/>
      </dsp:nvSpPr>
      <dsp:spPr>
        <a:xfrm>
          <a:off x="4291279" y="697700"/>
          <a:ext cx="2156865" cy="15686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156,9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(+1876,0 тис.грн.)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91279" y="697700"/>
        <a:ext cx="2156865" cy="1568684"/>
      </dsp:txXfrm>
    </dsp:sp>
    <dsp:sp modelId="{2B51B7EF-26D3-462D-9212-E7CEBAE28676}">
      <dsp:nvSpPr>
        <dsp:cNvPr id="0" name=""/>
        <dsp:cNvSpPr/>
      </dsp:nvSpPr>
      <dsp:spPr>
        <a:xfrm>
          <a:off x="0" y="2241137"/>
          <a:ext cx="6448425" cy="16868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54568"/>
          <a:ext cx="1938914" cy="69840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кв. 2020 року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129,3 тис.грн.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          </a:t>
          </a:r>
        </a:p>
      </dsp:txBody>
      <dsp:txXfrm>
        <a:off x="21663" y="975024"/>
        <a:ext cx="1898002" cy="657492"/>
      </dsp:txXfrm>
    </dsp:sp>
    <dsp:sp modelId="{2C596296-6704-4CC8-B9BF-52C838285E88}">
      <dsp:nvSpPr>
        <dsp:cNvPr id="0" name=""/>
        <dsp:cNvSpPr/>
      </dsp:nvSpPr>
      <dsp:spPr>
        <a:xfrm>
          <a:off x="1199" y="1777370"/>
          <a:ext cx="1908841" cy="778846"/>
        </a:xfrm>
        <a:prstGeom prst="roundRect">
          <a:avLst>
            <a:gd name="adj" fmla="val 10000"/>
          </a:avLst>
        </a:prstGeom>
        <a:solidFill>
          <a:schemeClr val="accent5">
            <a:hueOff val="751337"/>
            <a:satOff val="-3297"/>
            <a:lumOff val="98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120,1 тис.грн.</a:t>
          </a:r>
        </a:p>
      </dsp:txBody>
      <dsp:txXfrm>
        <a:off x="24011" y="1800182"/>
        <a:ext cx="1863217" cy="733222"/>
      </dsp:txXfrm>
    </dsp:sp>
    <dsp:sp modelId="{22A2A73C-654B-4587-AA91-934DBD585DC4}">
      <dsp:nvSpPr>
        <dsp:cNvPr id="0" name=""/>
        <dsp:cNvSpPr/>
      </dsp:nvSpPr>
      <dsp:spPr>
        <a:xfrm>
          <a:off x="1199" y="2677688"/>
          <a:ext cx="1946748" cy="636297"/>
        </a:xfrm>
        <a:prstGeom prst="roundRect">
          <a:avLst>
            <a:gd name="adj" fmla="val 10000"/>
          </a:avLst>
        </a:prstGeom>
        <a:solidFill>
          <a:schemeClr val="accent5">
            <a:hueOff val="1502675"/>
            <a:satOff val="-6595"/>
            <a:lumOff val="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- 92,9%,              (-9,2 тис.грн.)</a:t>
          </a:r>
        </a:p>
      </dsp:txBody>
      <dsp:txXfrm>
        <a:off x="19836" y="2696325"/>
        <a:ext cx="1909474" cy="599023"/>
      </dsp:txXfrm>
    </dsp:sp>
    <dsp:sp modelId="{E9F66DB0-F6F9-4B80-B84F-9BDE22F808C2}">
      <dsp:nvSpPr>
        <dsp:cNvPr id="0" name=""/>
        <dsp:cNvSpPr/>
      </dsp:nvSpPr>
      <dsp:spPr>
        <a:xfrm>
          <a:off x="2141827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 податок з фізичних осіб</a:t>
          </a:r>
        </a:p>
      </dsp:txBody>
      <dsp:txXfrm>
        <a:off x="2141827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8701"/>
          <a:ext cx="2005395" cy="627335"/>
        </a:xfrm>
        <a:prstGeom prst="roundRect">
          <a:avLst>
            <a:gd name="adj" fmla="val 10000"/>
          </a:avLst>
        </a:prstGeom>
        <a:solidFill>
          <a:schemeClr val="accent5">
            <a:hueOff val="2254012"/>
            <a:satOff val="-9892"/>
            <a:lumOff val="294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кв. 2020року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2595,4 тис.грн.</a:t>
          </a:r>
        </a:p>
      </dsp:txBody>
      <dsp:txXfrm>
        <a:off x="2145205" y="997075"/>
        <a:ext cx="1968647" cy="590587"/>
      </dsp:txXfrm>
    </dsp:sp>
    <dsp:sp modelId="{74A7BFD7-DE4B-4CEF-9E5B-9E14C4720914}">
      <dsp:nvSpPr>
        <dsp:cNvPr id="0" name=""/>
        <dsp:cNvSpPr/>
      </dsp:nvSpPr>
      <dsp:spPr>
        <a:xfrm>
          <a:off x="2186546" y="1760075"/>
          <a:ext cx="1923870" cy="685573"/>
        </a:xfrm>
        <a:prstGeom prst="roundRect">
          <a:avLst>
            <a:gd name="adj" fmla="val 10000"/>
          </a:avLst>
        </a:prstGeom>
        <a:solidFill>
          <a:schemeClr val="accent5">
            <a:hueOff val="3005349"/>
            <a:satOff val="-13190"/>
            <a:lumOff val="392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2032,9 тис.грн. </a:t>
          </a:r>
        </a:p>
      </dsp:txBody>
      <dsp:txXfrm>
        <a:off x="2206626" y="1780155"/>
        <a:ext cx="1883710" cy="645413"/>
      </dsp:txXfrm>
    </dsp:sp>
    <dsp:sp modelId="{7E0E7086-0779-4EE4-90A2-E516F5E4B779}">
      <dsp:nvSpPr>
        <dsp:cNvPr id="0" name=""/>
        <dsp:cNvSpPr/>
      </dsp:nvSpPr>
      <dsp:spPr>
        <a:xfrm>
          <a:off x="2214976" y="2646798"/>
          <a:ext cx="1867010" cy="655638"/>
        </a:xfrm>
        <a:prstGeom prst="roundRect">
          <a:avLst>
            <a:gd name="adj" fmla="val 10000"/>
          </a:avLst>
        </a:prstGeom>
        <a:solidFill>
          <a:schemeClr val="accent5">
            <a:hueOff val="3756687"/>
            <a:satOff val="-16488"/>
            <a:lumOff val="490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78,3%,                 (-562,5 тис.грн.)</a:t>
          </a:r>
        </a:p>
      </dsp:txBody>
      <dsp:txXfrm>
        <a:off x="2234179" y="2666001"/>
        <a:ext cx="1828604" cy="617232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с/г 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76517"/>
          <a:ext cx="1946732" cy="571894"/>
        </a:xfrm>
        <a:prstGeom prst="roundRect">
          <a:avLst>
            <a:gd name="adj" fmla="val 10000"/>
          </a:avLst>
        </a:prstGeom>
        <a:solidFill>
          <a:schemeClr val="accent5">
            <a:hueOff val="4508024"/>
            <a:satOff val="-19785"/>
            <a:lumOff val="588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кв. 2020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1597,3 тис.грн.</a:t>
          </a:r>
        </a:p>
      </dsp:txBody>
      <dsp:txXfrm>
        <a:off x="4382552" y="993267"/>
        <a:ext cx="1913232" cy="538394"/>
      </dsp:txXfrm>
    </dsp:sp>
    <dsp:sp modelId="{9C61B4A9-59A6-41A7-A5DA-A4F88C9B05EC}">
      <dsp:nvSpPr>
        <dsp:cNvPr id="0" name=""/>
        <dsp:cNvSpPr/>
      </dsp:nvSpPr>
      <dsp:spPr>
        <a:xfrm>
          <a:off x="4364627" y="1766650"/>
          <a:ext cx="1938914" cy="675605"/>
        </a:xfrm>
        <a:prstGeom prst="roundRect">
          <a:avLst>
            <a:gd name="adj" fmla="val 10000"/>
          </a:avLst>
        </a:prstGeom>
        <a:solidFill>
          <a:schemeClr val="accent5">
            <a:hueOff val="5259361"/>
            <a:satOff val="-23082"/>
            <a:lumOff val="686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кв.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3067,5 тис.грн. </a:t>
          </a:r>
        </a:p>
      </dsp:txBody>
      <dsp:txXfrm>
        <a:off x="4384415" y="1786438"/>
        <a:ext cx="1899338" cy="636029"/>
      </dsp:txXfrm>
    </dsp:sp>
    <dsp:sp modelId="{95088396-CEC1-45DD-804F-0F41AADB86E3}">
      <dsp:nvSpPr>
        <dsp:cNvPr id="0" name=""/>
        <dsp:cNvSpPr/>
      </dsp:nvSpPr>
      <dsp:spPr>
        <a:xfrm>
          <a:off x="4296823" y="2631284"/>
          <a:ext cx="2009814" cy="714038"/>
        </a:xfrm>
        <a:prstGeom prst="roundRect">
          <a:avLst>
            <a:gd name="adj" fmla="val 10000"/>
          </a:avLst>
        </a:prstGeom>
        <a:solidFill>
          <a:schemeClr val="accent5">
            <a:hueOff val="6010699"/>
            <a:satOff val="-26380"/>
            <a:lumOff val="784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192,0%,  (+1470,2 тис.грн.) </a:t>
          </a:r>
        </a:p>
      </dsp:txBody>
      <dsp:txXfrm>
        <a:off x="4317736" y="2652197"/>
        <a:ext cx="1967988" cy="672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2021-05-11T13:25:00Z</cp:lastPrinted>
  <dcterms:created xsi:type="dcterms:W3CDTF">2021-04-27T14:00:00Z</dcterms:created>
  <dcterms:modified xsi:type="dcterms:W3CDTF">2021-05-24T13:35:00Z</dcterms:modified>
</cp:coreProperties>
</file>