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3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1E" w:rsidRDefault="00E1690E" w:rsidP="00E16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E16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стан виконання  бюджету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Новоукраїнської міської об'єднаної територіальної громади </w:t>
      </w:r>
      <w:r w:rsidRPr="00E16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695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2019 р</w:t>
      </w:r>
      <w:r w:rsidR="00CE19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="00695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804CF9" w:rsidRDefault="00804CF9" w:rsidP="00E16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690E" w:rsidRDefault="00804CF9" w:rsidP="00804CF9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34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EF46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F34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F46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ВИКОНАННЯ ДОХОДІВ</w:t>
      </w:r>
    </w:p>
    <w:p w:rsidR="00804CF9" w:rsidRDefault="00804CF9" w:rsidP="00804CF9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695342"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CE19FA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>к бюджет</w:t>
      </w:r>
      <w:r w:rsidR="00C50CDE">
        <w:rPr>
          <w:rFonts w:ascii="Times New Roman" w:hAnsi="Times New Roman" w:cs="Times New Roman"/>
          <w:color w:val="000000"/>
          <w:sz w:val="28"/>
          <w:szCs w:val="28"/>
        </w:rPr>
        <w:t xml:space="preserve"> громади отримав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доходів (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>враховуючи офіційні трансферти)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B3A">
        <w:rPr>
          <w:rFonts w:ascii="Times New Roman" w:hAnsi="Times New Roman" w:cs="Times New Roman"/>
          <w:color w:val="000000"/>
          <w:sz w:val="28"/>
          <w:szCs w:val="28"/>
        </w:rPr>
        <w:t>у сумі</w:t>
      </w:r>
      <w:r w:rsidR="006D77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9FA">
        <w:rPr>
          <w:rFonts w:ascii="Times New Roman" w:hAnsi="Times New Roman" w:cs="Times New Roman"/>
          <w:color w:val="000000"/>
          <w:sz w:val="28"/>
          <w:szCs w:val="28"/>
        </w:rPr>
        <w:t>162660,0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90E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D354ED">
        <w:rPr>
          <w:rFonts w:ascii="TimesNewRomanPSMT" w:hAnsi="TimesNewRomanPSMT"/>
          <w:color w:val="000000"/>
          <w:sz w:val="28"/>
          <w:szCs w:val="28"/>
        </w:rPr>
        <w:t xml:space="preserve">або </w:t>
      </w:r>
      <w:r w:rsidR="00CE19FA">
        <w:rPr>
          <w:rFonts w:ascii="TimesNewRomanPSMT" w:hAnsi="TimesNewRomanPSMT"/>
          <w:color w:val="000000"/>
          <w:sz w:val="28"/>
          <w:szCs w:val="28"/>
        </w:rPr>
        <w:t>103,3</w:t>
      </w:r>
      <w:r>
        <w:rPr>
          <w:rFonts w:ascii="TimesNewRomanPSMT" w:hAnsi="TimesNewRomanPSMT"/>
          <w:color w:val="000000"/>
          <w:sz w:val="28"/>
          <w:szCs w:val="28"/>
        </w:rPr>
        <w:t xml:space="preserve">% від уточненого планового показника </w:t>
      </w:r>
      <w:r w:rsidR="00515690">
        <w:rPr>
          <w:rFonts w:ascii="TimesNewRomanPSMT" w:hAnsi="TimesNewRomanPSMT"/>
          <w:color w:val="000000"/>
          <w:sz w:val="28"/>
          <w:szCs w:val="28"/>
        </w:rPr>
        <w:t>–</w:t>
      </w:r>
      <w:r w:rsidR="00A0683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E19FA">
        <w:rPr>
          <w:rFonts w:ascii="TimesNewRomanPSMT" w:hAnsi="TimesNewRomanPSMT"/>
          <w:color w:val="000000"/>
          <w:sz w:val="28"/>
          <w:szCs w:val="28"/>
        </w:rPr>
        <w:t>157515,2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., з них до: </w:t>
      </w: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загального фонду </w:t>
      </w:r>
      <w:r w:rsidR="00515690">
        <w:rPr>
          <w:rFonts w:ascii="TimesNewRomanPSMT" w:hAnsi="TimesNewRomanPSMT"/>
          <w:color w:val="000000"/>
          <w:sz w:val="28"/>
          <w:szCs w:val="28"/>
        </w:rPr>
        <w:t>–</w:t>
      </w:r>
      <w:r w:rsidR="00A0683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73758">
        <w:rPr>
          <w:rFonts w:ascii="TimesNewRomanPSMT" w:hAnsi="TimesNewRomanPSMT"/>
          <w:color w:val="000000"/>
          <w:sz w:val="28"/>
          <w:szCs w:val="28"/>
        </w:rPr>
        <w:t>156199,8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 w:rsidR="00273758">
        <w:rPr>
          <w:rFonts w:ascii="TimesNewRomanPSMT" w:hAnsi="TimesNewRomanPSMT"/>
          <w:color w:val="000000"/>
          <w:sz w:val="28"/>
          <w:szCs w:val="28"/>
        </w:rPr>
        <w:t>103,4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</w:t>
      </w:r>
      <w:r w:rsidR="00FA38AB">
        <w:rPr>
          <w:rFonts w:ascii="TimesNewRomanPSMT" w:hAnsi="TimesNewRomanPSMT"/>
          <w:color w:val="000000"/>
          <w:sz w:val="28"/>
          <w:szCs w:val="28"/>
        </w:rPr>
        <w:t xml:space="preserve">більше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273758">
        <w:rPr>
          <w:rFonts w:ascii="TimesNewRomanPSMT" w:hAnsi="TimesNewRomanPSMT"/>
          <w:color w:val="000000"/>
          <w:sz w:val="28"/>
          <w:szCs w:val="28"/>
        </w:rPr>
        <w:t>5104,1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від уточненого планового обсягу </w:t>
      </w:r>
      <w:r w:rsidR="00273758">
        <w:rPr>
          <w:rFonts w:ascii="TimesNewRomanPSMT" w:hAnsi="TimesNewRomanPSMT"/>
          <w:color w:val="000000"/>
          <w:sz w:val="28"/>
          <w:szCs w:val="28"/>
        </w:rPr>
        <w:t>151095,8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- спеціального фонду </w:t>
      </w:r>
      <w:r w:rsidR="00515690"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="00273758">
        <w:rPr>
          <w:rFonts w:ascii="TimesNewRomanPSMT" w:hAnsi="TimesNewRomanPSMT"/>
          <w:color w:val="000000"/>
          <w:sz w:val="28"/>
          <w:szCs w:val="28"/>
        </w:rPr>
        <w:t>6460,2</w:t>
      </w:r>
      <w:r w:rsidR="0051569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 w:rsidR="00273758">
        <w:rPr>
          <w:rFonts w:ascii="TimesNewRomanPSMT" w:hAnsi="TimesNewRomanPSMT"/>
          <w:color w:val="000000"/>
          <w:sz w:val="28"/>
          <w:szCs w:val="28"/>
        </w:rPr>
        <w:t>100,6</w:t>
      </w:r>
      <w:r>
        <w:rPr>
          <w:rFonts w:ascii="TimesNewRomanPSMT" w:hAnsi="TimesNewRomanPSMT"/>
          <w:color w:val="000000"/>
          <w:sz w:val="28"/>
          <w:szCs w:val="28"/>
        </w:rPr>
        <w:t>% виконання), що на</w:t>
      </w:r>
      <w:r w:rsidR="00273758">
        <w:rPr>
          <w:rFonts w:ascii="TimesNewRomanPSMT" w:hAnsi="TimesNewRomanPSMT"/>
          <w:color w:val="000000"/>
          <w:sz w:val="28"/>
          <w:szCs w:val="28"/>
        </w:rPr>
        <w:t xml:space="preserve">                   40,7</w:t>
      </w:r>
      <w:r w:rsidR="00D2260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більше від уточненого планового обсягу </w:t>
      </w:r>
      <w:r w:rsidR="00515690">
        <w:rPr>
          <w:rFonts w:ascii="TimesNewRomanPSMT" w:hAnsi="TimesNewRomanPSMT"/>
          <w:color w:val="000000"/>
          <w:sz w:val="28"/>
          <w:szCs w:val="28"/>
        </w:rPr>
        <w:t>–</w:t>
      </w:r>
      <w:r w:rsidR="007106A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73758">
        <w:rPr>
          <w:rFonts w:ascii="TimesNewRomanPSMT" w:hAnsi="TimesNewRomanPSMT"/>
          <w:color w:val="000000"/>
          <w:sz w:val="28"/>
          <w:szCs w:val="28"/>
        </w:rPr>
        <w:t>6419,5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Динаміку надходжень за</w:t>
      </w:r>
      <w:r w:rsidR="006177AD">
        <w:rPr>
          <w:rFonts w:ascii="TimesNewRomanPSMT" w:hAnsi="TimesNewRomanPSMT"/>
          <w:color w:val="000000"/>
          <w:sz w:val="28"/>
          <w:szCs w:val="28"/>
        </w:rPr>
        <w:t xml:space="preserve">гального та спеціального фондів </w:t>
      </w:r>
      <w:r>
        <w:rPr>
          <w:rFonts w:ascii="TimesNewRomanPSMT" w:hAnsi="TimesNewRomanPSMT"/>
          <w:color w:val="000000"/>
          <w:sz w:val="28"/>
          <w:szCs w:val="28"/>
        </w:rPr>
        <w:t>бюджету</w:t>
      </w:r>
      <w:r w:rsidR="006177AD">
        <w:rPr>
          <w:rFonts w:ascii="TimesNewRomanPSMT" w:hAnsi="TimesNewRomanPSMT"/>
          <w:color w:val="000000"/>
          <w:sz w:val="28"/>
          <w:szCs w:val="28"/>
        </w:rPr>
        <w:t xml:space="preserve"> ОТГ</w:t>
      </w:r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r w:rsidR="007106AB" w:rsidRPr="007106AB">
        <w:rPr>
          <w:rFonts w:ascii="TimesNewRomanPSMT" w:hAnsi="TimesNewRomanPSMT"/>
          <w:color w:val="000000"/>
          <w:sz w:val="28"/>
          <w:szCs w:val="28"/>
        </w:rPr>
        <w:t>включаючи офіційні трансферти</w:t>
      </w:r>
      <w:r>
        <w:rPr>
          <w:rFonts w:ascii="TimesNewRomanPSMT" w:hAnsi="TimesNewRomanPSMT"/>
          <w:color w:val="000000"/>
          <w:sz w:val="28"/>
          <w:szCs w:val="28"/>
        </w:rPr>
        <w:t>) за 201</w:t>
      </w:r>
      <w:r w:rsidR="008B5F19">
        <w:rPr>
          <w:rFonts w:ascii="TimesNewRomanPSMT" w:hAnsi="TimesNewRomanPSMT"/>
          <w:color w:val="000000"/>
          <w:sz w:val="28"/>
          <w:szCs w:val="28"/>
        </w:rPr>
        <w:t xml:space="preserve">8 </w:t>
      </w:r>
      <w:r w:rsidR="006F692A">
        <w:rPr>
          <w:rFonts w:ascii="TimesNewRomanPSMT" w:hAnsi="TimesNewRomanPSMT"/>
          <w:color w:val="000000"/>
          <w:sz w:val="28"/>
          <w:szCs w:val="28"/>
        </w:rPr>
        <w:t>-</w:t>
      </w:r>
      <w:r w:rsidR="008B5F19">
        <w:rPr>
          <w:rFonts w:ascii="TimesNewRomanPSMT" w:hAnsi="TimesNewRomanPSMT"/>
          <w:color w:val="000000"/>
          <w:sz w:val="28"/>
          <w:szCs w:val="28"/>
        </w:rPr>
        <w:t xml:space="preserve"> 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</w:t>
      </w:r>
      <w:r w:rsidR="006F692A">
        <w:rPr>
          <w:rFonts w:ascii="TimesNewRomanPSMT" w:hAnsi="TimesNewRomanPSMT"/>
          <w:color w:val="000000"/>
          <w:sz w:val="28"/>
          <w:szCs w:val="28"/>
        </w:rPr>
        <w:t>о</w:t>
      </w:r>
      <w:r w:rsidR="00274B3A">
        <w:rPr>
          <w:rFonts w:ascii="TimesNewRomanPSMT" w:hAnsi="TimesNewRomanPSMT"/>
          <w:color w:val="000000"/>
          <w:sz w:val="28"/>
          <w:szCs w:val="28"/>
        </w:rPr>
        <w:t>к</w:t>
      </w:r>
      <w:r w:rsidR="006F692A">
        <w:rPr>
          <w:rFonts w:ascii="TimesNewRomanPSMT" w:hAnsi="TimesNewRomanPSMT"/>
          <w:color w:val="000000"/>
          <w:sz w:val="28"/>
          <w:szCs w:val="28"/>
        </w:rPr>
        <w:t>и</w:t>
      </w:r>
      <w:r w:rsidR="007106AB"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наведено на </w:t>
      </w:r>
      <w:r w:rsidR="00736BA7">
        <w:rPr>
          <w:rFonts w:ascii="TimesNewRomanPSMT" w:hAnsi="TimesNewRomanPSMT"/>
          <w:color w:val="000000"/>
          <w:sz w:val="28"/>
          <w:szCs w:val="28"/>
        </w:rPr>
        <w:t>Р</w:t>
      </w:r>
      <w:r>
        <w:rPr>
          <w:rFonts w:ascii="TimesNewRomanPSMT" w:hAnsi="TimesNewRomanPSMT"/>
          <w:color w:val="000000"/>
          <w:sz w:val="28"/>
          <w:szCs w:val="28"/>
        </w:rPr>
        <w:t>ис.1</w:t>
      </w:r>
    </w:p>
    <w:p w:rsidR="007106AB" w:rsidRDefault="007106AB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C3E22" w:rsidRDefault="00435315" w:rsidP="00935F87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29375" cy="46005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2982" w:rsidRDefault="00CA2982" w:rsidP="007106AB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CB11FF" w:rsidRDefault="00CB11FF" w:rsidP="00CB11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CA2982" w:rsidRPr="004E3DBD" w:rsidRDefault="00CB11FF" w:rsidP="00CB11F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звітному </w:t>
      </w:r>
      <w:r w:rsidR="00432788">
        <w:rPr>
          <w:rFonts w:ascii="TimesNewRomanPSMT" w:hAnsi="TimesNewRomanPSMT"/>
          <w:color w:val="000000"/>
          <w:sz w:val="28"/>
          <w:szCs w:val="28"/>
        </w:rPr>
        <w:t>році</w:t>
      </w:r>
      <w:r>
        <w:rPr>
          <w:rFonts w:ascii="TimesNewRomanPSMT" w:hAnsi="TimesNewRomanPSMT"/>
          <w:color w:val="000000"/>
          <w:sz w:val="28"/>
          <w:szCs w:val="28"/>
        </w:rPr>
        <w:t xml:space="preserve"> приріст надходжень бюджету </w:t>
      </w:r>
      <w:r w:rsidR="00432788">
        <w:rPr>
          <w:rFonts w:ascii="TimesNewRomanPSMT" w:hAnsi="TimesNewRomanPSMT"/>
          <w:color w:val="000000"/>
          <w:sz w:val="28"/>
          <w:szCs w:val="28"/>
        </w:rPr>
        <w:t>громади</w:t>
      </w:r>
      <w:r>
        <w:rPr>
          <w:rFonts w:ascii="TimesNewRomanPSMT" w:hAnsi="TimesNewRomanPSMT"/>
          <w:color w:val="000000"/>
          <w:sz w:val="28"/>
          <w:szCs w:val="28"/>
        </w:rPr>
        <w:t xml:space="preserve"> у порівнянні з </w:t>
      </w:r>
      <w:r w:rsidR="00660A50"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="00B75B25">
        <w:rPr>
          <w:rFonts w:ascii="TimesNewRomanPSMT" w:hAnsi="TimesNewRomanPSMT"/>
          <w:color w:val="000000"/>
          <w:sz w:val="28"/>
          <w:szCs w:val="28"/>
        </w:rPr>
        <w:t>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</w:t>
      </w:r>
      <w:r w:rsidR="00432788">
        <w:rPr>
          <w:rFonts w:ascii="TimesNewRomanPSMT" w:hAnsi="TimesNewRomanPSMT"/>
          <w:color w:val="000000"/>
          <w:sz w:val="28"/>
          <w:szCs w:val="28"/>
        </w:rPr>
        <w:t xml:space="preserve">ом </w:t>
      </w:r>
      <w:r>
        <w:rPr>
          <w:rFonts w:ascii="TimesNewRomanPSMT" w:hAnsi="TimesNewRomanPSMT"/>
          <w:color w:val="000000"/>
          <w:sz w:val="28"/>
          <w:szCs w:val="28"/>
        </w:rPr>
        <w:t xml:space="preserve">склав </w:t>
      </w:r>
      <w:r w:rsidR="003D2555">
        <w:rPr>
          <w:rFonts w:ascii="TimesNewRomanPSMT" w:hAnsi="TimesNewRomanPSMT"/>
          <w:color w:val="000000"/>
          <w:sz w:val="28"/>
          <w:szCs w:val="28"/>
        </w:rPr>
        <w:t>16624,5</w:t>
      </w:r>
      <w:r w:rsidR="00432788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при темпі росту </w:t>
      </w:r>
      <w:r w:rsidR="003D2555">
        <w:rPr>
          <w:rFonts w:ascii="TimesNewRomanPSMT" w:hAnsi="TimesNewRomanPSMT"/>
          <w:color w:val="000000"/>
          <w:sz w:val="28"/>
          <w:szCs w:val="28"/>
        </w:rPr>
        <w:t>111,4</w:t>
      </w:r>
      <w:r>
        <w:rPr>
          <w:rFonts w:ascii="TimesNewRomanPSMT" w:hAnsi="TimesNewRomanPSMT"/>
          <w:color w:val="000000"/>
          <w:sz w:val="28"/>
          <w:szCs w:val="28"/>
        </w:rPr>
        <w:t xml:space="preserve">%. </w:t>
      </w:r>
      <w:r w:rsidR="001A2A8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Доходи загального фонду </w:t>
      </w:r>
      <w:r w:rsidR="00B75B25">
        <w:rPr>
          <w:rFonts w:ascii="TimesNewRomanPSMT" w:hAnsi="TimesNewRomanPSMT"/>
          <w:color w:val="000000"/>
          <w:sz w:val="28"/>
          <w:szCs w:val="28"/>
        </w:rPr>
        <w:t>за 2019</w:t>
      </w:r>
      <w:r w:rsidR="00285217">
        <w:rPr>
          <w:rFonts w:ascii="TimesNewRomanPSMT" w:hAnsi="TimesNewRomanPSMT"/>
          <w:color w:val="000000"/>
          <w:sz w:val="28"/>
          <w:szCs w:val="28"/>
        </w:rPr>
        <w:t xml:space="preserve"> рі</w:t>
      </w:r>
      <w:r>
        <w:rPr>
          <w:rFonts w:ascii="TimesNewRomanPSMT" w:hAnsi="TimesNewRomanPSMT"/>
          <w:color w:val="000000"/>
          <w:sz w:val="28"/>
          <w:szCs w:val="28"/>
        </w:rPr>
        <w:t xml:space="preserve">к зросли на </w:t>
      </w:r>
      <w:r w:rsidR="00285217">
        <w:rPr>
          <w:rFonts w:ascii="TimesNewRomanPSMT" w:hAnsi="TimesNewRomanPSMT"/>
          <w:color w:val="000000"/>
          <w:sz w:val="28"/>
          <w:szCs w:val="28"/>
        </w:rPr>
        <w:t>13957,1</w:t>
      </w:r>
      <w:r w:rsidR="00B75B2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285217">
        <w:rPr>
          <w:rFonts w:ascii="TimesNewRomanPSMT" w:hAnsi="TimesNewRomanPSMT"/>
          <w:color w:val="000000"/>
          <w:sz w:val="28"/>
          <w:szCs w:val="28"/>
        </w:rPr>
        <w:t>т</w:t>
      </w:r>
      <w:r>
        <w:rPr>
          <w:rFonts w:ascii="TimesNewRomanPSMT" w:hAnsi="TimesNewRomanPSMT"/>
          <w:color w:val="000000"/>
          <w:sz w:val="28"/>
          <w:szCs w:val="28"/>
        </w:rPr>
        <w:t>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або </w:t>
      </w:r>
      <w:r w:rsidR="00285217">
        <w:rPr>
          <w:rFonts w:ascii="TimesNewRomanPSMT" w:hAnsi="TimesNewRomanPSMT"/>
          <w:color w:val="000000"/>
          <w:sz w:val="28"/>
          <w:szCs w:val="28"/>
        </w:rPr>
        <w:t>109,8</w:t>
      </w:r>
      <w:r w:rsidR="00ED262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% у порівн</w:t>
      </w:r>
      <w:r w:rsidR="00B75B25">
        <w:rPr>
          <w:rFonts w:ascii="TimesNewRomanPSMT" w:hAnsi="TimesNewRomanPSMT"/>
          <w:color w:val="000000"/>
          <w:sz w:val="28"/>
          <w:szCs w:val="28"/>
        </w:rPr>
        <w:t>янні з 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</w:t>
      </w:r>
      <w:r w:rsidR="00285217">
        <w:rPr>
          <w:rFonts w:ascii="TimesNewRomanPSMT" w:hAnsi="TimesNewRomanPSMT"/>
          <w:color w:val="000000"/>
          <w:sz w:val="28"/>
          <w:szCs w:val="28"/>
        </w:rPr>
        <w:t>ом</w:t>
      </w:r>
      <w:r>
        <w:rPr>
          <w:rFonts w:ascii="TimesNewRomanPSMT" w:hAnsi="TimesNewRomanPSMT"/>
          <w:color w:val="000000"/>
          <w:sz w:val="28"/>
          <w:szCs w:val="28"/>
        </w:rPr>
        <w:t xml:space="preserve">, за рахунок збільшення рівня мінімальної заробітної плати, </w:t>
      </w:r>
      <w:proofErr w:type="spellStart"/>
      <w:r w:rsidR="00B7239B">
        <w:rPr>
          <w:rFonts w:ascii="TimesNewRomanPSMT" w:hAnsi="TimesNewRomanPSMT"/>
          <w:color w:val="000000"/>
          <w:sz w:val="28"/>
          <w:szCs w:val="28"/>
        </w:rPr>
        <w:t>плати</w:t>
      </w:r>
      <w:proofErr w:type="spellEnd"/>
      <w:r w:rsidR="00B7239B">
        <w:rPr>
          <w:rFonts w:ascii="TimesNewRomanPSMT" w:hAnsi="TimesNewRomanPSMT"/>
          <w:color w:val="000000"/>
          <w:sz w:val="28"/>
          <w:szCs w:val="28"/>
        </w:rPr>
        <w:t xml:space="preserve"> за землю</w:t>
      </w:r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r w:rsidRPr="004E3DBD">
        <w:rPr>
          <w:rFonts w:ascii="TimesNewRomanPSMT" w:hAnsi="TimesNewRomanPSMT"/>
          <w:sz w:val="28"/>
          <w:szCs w:val="28"/>
        </w:rPr>
        <w:t>офіційних трансфертів.</w:t>
      </w:r>
    </w:p>
    <w:p w:rsidR="00AB32A9" w:rsidRDefault="00AB32A9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Доходи спеціального фонду за </w:t>
      </w:r>
      <w:r w:rsidR="003F1AE5">
        <w:rPr>
          <w:rFonts w:ascii="TimesNewRomanPSMT" w:hAnsi="TimesNewRomanPSMT"/>
          <w:color w:val="000000"/>
          <w:sz w:val="28"/>
          <w:szCs w:val="28"/>
        </w:rPr>
        <w:t>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</w:t>
      </w:r>
      <w:r w:rsidR="00171BCD">
        <w:rPr>
          <w:rFonts w:ascii="TimesNewRomanPSMT" w:hAnsi="TimesNewRomanPSMT"/>
          <w:color w:val="000000"/>
          <w:sz w:val="28"/>
          <w:szCs w:val="28"/>
        </w:rPr>
        <w:t>і</w:t>
      </w:r>
      <w:r w:rsidR="003F1AE5">
        <w:rPr>
          <w:rFonts w:ascii="TimesNewRomanPSMT" w:hAnsi="TimesNewRomanPSMT"/>
          <w:color w:val="000000"/>
          <w:sz w:val="28"/>
          <w:szCs w:val="28"/>
        </w:rPr>
        <w:t>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F1AE5">
        <w:rPr>
          <w:rFonts w:ascii="TimesNewRomanPSMT" w:hAnsi="TimesNewRomanPSMT"/>
          <w:color w:val="000000"/>
          <w:sz w:val="28"/>
          <w:szCs w:val="28"/>
        </w:rPr>
        <w:t>збільшились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9566B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71BCD">
        <w:rPr>
          <w:rFonts w:ascii="TimesNewRomanPSMT" w:hAnsi="TimesNewRomanPSMT"/>
          <w:color w:val="000000"/>
          <w:sz w:val="28"/>
          <w:szCs w:val="28"/>
        </w:rPr>
        <w:t>2667,4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 w:rsidR="00660A50">
        <w:rPr>
          <w:rFonts w:ascii="TimesNewRomanPSMT" w:hAnsi="TimesNewRomanPSMT"/>
          <w:color w:val="000000"/>
          <w:sz w:val="28"/>
          <w:szCs w:val="28"/>
        </w:rPr>
        <w:t>,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або 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171BCD">
        <w:rPr>
          <w:rFonts w:ascii="TimesNewRomanPSMT" w:hAnsi="TimesNewRomanPSMT"/>
          <w:color w:val="000000"/>
          <w:sz w:val="28"/>
          <w:szCs w:val="28"/>
        </w:rPr>
        <w:t>70,3</w:t>
      </w:r>
      <w:r>
        <w:rPr>
          <w:rFonts w:ascii="TimesNewRomanPSMT" w:hAnsi="TimesNewRomanPSMT"/>
          <w:color w:val="000000"/>
          <w:sz w:val="28"/>
          <w:szCs w:val="28"/>
        </w:rPr>
        <w:t>% у порівн</w:t>
      </w:r>
      <w:r w:rsidR="005845E5">
        <w:rPr>
          <w:rFonts w:ascii="TimesNewRomanPSMT" w:hAnsi="TimesNewRomanPSMT"/>
          <w:color w:val="000000"/>
          <w:sz w:val="28"/>
          <w:szCs w:val="28"/>
        </w:rPr>
        <w:t>янні з 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</w:t>
      </w:r>
      <w:r w:rsidR="00171BCD">
        <w:rPr>
          <w:rFonts w:ascii="TimesNewRomanPSMT" w:hAnsi="TimesNewRomanPSMT"/>
          <w:color w:val="000000"/>
          <w:sz w:val="28"/>
          <w:szCs w:val="28"/>
        </w:rPr>
        <w:t>ом</w:t>
      </w:r>
      <w:r>
        <w:rPr>
          <w:rFonts w:ascii="TimesNewRomanPSMT" w:hAnsi="TimesNewRomanPSMT"/>
          <w:color w:val="000000"/>
          <w:sz w:val="28"/>
          <w:szCs w:val="28"/>
        </w:rPr>
        <w:t xml:space="preserve"> за рахунок </w:t>
      </w:r>
      <w:r w:rsidR="006E2C59">
        <w:rPr>
          <w:rFonts w:ascii="TimesNewRomanPSMT" w:hAnsi="TimesNewRomanPSMT"/>
          <w:color w:val="000000"/>
          <w:sz w:val="28"/>
          <w:szCs w:val="28"/>
        </w:rPr>
        <w:t>з</w:t>
      </w:r>
      <w:r w:rsidR="005845E5">
        <w:rPr>
          <w:rFonts w:ascii="TimesNewRomanPSMT" w:hAnsi="TimesNewRomanPSMT"/>
          <w:color w:val="000000"/>
          <w:sz w:val="28"/>
          <w:szCs w:val="28"/>
        </w:rPr>
        <w:t>більшення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845E5">
        <w:rPr>
          <w:rFonts w:ascii="TimesNewRomanPSMT" w:hAnsi="TimesNewRomanPSMT"/>
          <w:color w:val="000000"/>
          <w:sz w:val="28"/>
          <w:szCs w:val="28"/>
        </w:rPr>
        <w:t xml:space="preserve">власних </w:t>
      </w:r>
      <w:r>
        <w:rPr>
          <w:rFonts w:ascii="TimesNewRomanPSMT" w:hAnsi="TimesNewRomanPSMT"/>
          <w:color w:val="000000"/>
          <w:sz w:val="28"/>
          <w:szCs w:val="28"/>
        </w:rPr>
        <w:t>надходжень</w:t>
      </w:r>
      <w:r w:rsidR="005845E5">
        <w:rPr>
          <w:rFonts w:ascii="TimesNewRomanPSMT" w:hAnsi="TimesNewRomanPSMT"/>
          <w:color w:val="000000"/>
          <w:sz w:val="28"/>
          <w:szCs w:val="28"/>
        </w:rPr>
        <w:t xml:space="preserve"> бюджетних установ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893E77" w:rsidRDefault="00893E77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За </w:t>
      </w:r>
      <w:r w:rsidR="00DF3B7E">
        <w:rPr>
          <w:rFonts w:ascii="TimesNewRomanPSMT" w:hAnsi="TimesNewRomanPSMT"/>
          <w:color w:val="000000"/>
          <w:sz w:val="28"/>
          <w:szCs w:val="28"/>
        </w:rPr>
        <w:t>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</w:t>
      </w:r>
      <w:r w:rsidR="00171BCD">
        <w:rPr>
          <w:rFonts w:ascii="TimesNewRomanPSMT" w:hAnsi="TimesNewRomanPSMT"/>
          <w:color w:val="000000"/>
          <w:sz w:val="28"/>
          <w:szCs w:val="28"/>
        </w:rPr>
        <w:t>ом</w:t>
      </w:r>
      <w:r>
        <w:rPr>
          <w:rFonts w:ascii="TimesNewRomanPSMT" w:hAnsi="TimesNewRomanPSMT"/>
          <w:color w:val="000000"/>
          <w:sz w:val="28"/>
          <w:szCs w:val="28"/>
        </w:rPr>
        <w:t xml:space="preserve"> дохідну частину бюджету громади за питомою вагою склали:</w:t>
      </w:r>
    </w:p>
    <w:p w:rsidR="00893E77" w:rsidRDefault="00DF3B7E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171BCD">
        <w:rPr>
          <w:rFonts w:ascii="TimesNewRomanPSMT" w:hAnsi="TimesNewRomanPSMT"/>
          <w:color w:val="000000"/>
          <w:sz w:val="28"/>
          <w:szCs w:val="28"/>
        </w:rPr>
        <w:t>62,5</w:t>
      </w:r>
      <w:r w:rsidR="00893E77" w:rsidRPr="00057B28">
        <w:rPr>
          <w:rFonts w:ascii="TimesNewRomanPSMT" w:hAnsi="TimesNewRomanPSMT"/>
          <w:sz w:val="28"/>
          <w:szCs w:val="28"/>
        </w:rPr>
        <w:t>% - податки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, збори </w:t>
      </w:r>
      <w:r>
        <w:rPr>
          <w:rFonts w:ascii="TimesNewRomanPSMT" w:hAnsi="TimesNewRomanPSMT"/>
          <w:color w:val="000000"/>
          <w:sz w:val="28"/>
          <w:szCs w:val="28"/>
        </w:rPr>
        <w:t xml:space="preserve">та інші платежі в обсязі </w:t>
      </w:r>
      <w:r w:rsidR="00171BCD">
        <w:rPr>
          <w:rFonts w:ascii="TimesNewRomanPSMT" w:hAnsi="TimesNewRomanPSMT"/>
          <w:color w:val="000000"/>
          <w:sz w:val="28"/>
          <w:szCs w:val="28"/>
        </w:rPr>
        <w:t>101729,1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893E77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893E77">
        <w:rPr>
          <w:rFonts w:ascii="TimesNewRomanPSMT" w:hAnsi="TimesNewRomanPSMT"/>
          <w:color w:val="000000"/>
          <w:sz w:val="28"/>
          <w:szCs w:val="28"/>
        </w:rPr>
        <w:t>;</w:t>
      </w:r>
    </w:p>
    <w:p w:rsidR="00893E77" w:rsidRDefault="00DF3B7E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171BCD">
        <w:rPr>
          <w:rFonts w:ascii="TimesNewRomanPSMT" w:hAnsi="TimesNewRomanPSMT"/>
          <w:color w:val="000000"/>
          <w:sz w:val="28"/>
          <w:szCs w:val="28"/>
        </w:rPr>
        <w:t>37,5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 % - оф</w:t>
      </w:r>
      <w:r>
        <w:rPr>
          <w:rFonts w:ascii="TimesNewRomanPSMT" w:hAnsi="TimesNewRomanPSMT"/>
          <w:color w:val="000000"/>
          <w:sz w:val="28"/>
          <w:szCs w:val="28"/>
        </w:rPr>
        <w:t xml:space="preserve">іційні трансферти у сумі </w:t>
      </w:r>
      <w:r w:rsidR="00171BCD">
        <w:rPr>
          <w:rFonts w:ascii="TimesNewRomanPSMT" w:hAnsi="TimesNewRomanPSMT"/>
          <w:color w:val="000000"/>
          <w:sz w:val="28"/>
          <w:szCs w:val="28"/>
        </w:rPr>
        <w:t>60930,9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893E77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893E77">
        <w:rPr>
          <w:rFonts w:ascii="TimesNewRomanPSMT" w:hAnsi="TimesNewRomanPSMT"/>
          <w:color w:val="000000"/>
          <w:sz w:val="28"/>
          <w:szCs w:val="28"/>
        </w:rPr>
        <w:t>.</w:t>
      </w:r>
    </w:p>
    <w:p w:rsidR="004232D8" w:rsidRDefault="004232D8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Структурну динаміку дохідної частини  бюджету за </w:t>
      </w:r>
      <w:r w:rsidR="00A52D44">
        <w:rPr>
          <w:rFonts w:ascii="TimesNewRomanPSMT" w:hAnsi="TimesNewRomanPSMT"/>
          <w:color w:val="000000"/>
          <w:sz w:val="28"/>
          <w:szCs w:val="28"/>
        </w:rPr>
        <w:t>201</w:t>
      </w:r>
      <w:r w:rsidR="00171BCD">
        <w:rPr>
          <w:rFonts w:ascii="TimesNewRomanPSMT" w:hAnsi="TimesNewRomanPSMT"/>
          <w:color w:val="000000"/>
          <w:sz w:val="28"/>
          <w:szCs w:val="28"/>
        </w:rPr>
        <w:t>8</w:t>
      </w:r>
      <w:r w:rsidR="00DF3B7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71BCD"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A52D44">
        <w:rPr>
          <w:rFonts w:ascii="TimesNewRomanPSMT" w:hAnsi="TimesNewRomanPSMT"/>
          <w:color w:val="000000"/>
          <w:sz w:val="28"/>
          <w:szCs w:val="28"/>
        </w:rPr>
        <w:t>201</w:t>
      </w:r>
      <w:r w:rsidR="00171BCD">
        <w:rPr>
          <w:rFonts w:ascii="TimesNewRomanPSMT" w:hAnsi="TimesNewRomanPSMT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роки наведено у </w:t>
      </w:r>
      <w:r w:rsidR="000B2B0A">
        <w:rPr>
          <w:rFonts w:ascii="TimesNewRomanPSMT" w:hAnsi="TimesNewRomanPSMT"/>
          <w:color w:val="000000"/>
          <w:sz w:val="28"/>
          <w:szCs w:val="28"/>
        </w:rPr>
        <w:t>Р</w:t>
      </w:r>
      <w:r>
        <w:rPr>
          <w:rFonts w:ascii="TimesNewRomanPSMT" w:hAnsi="TimesNewRomanPSMT"/>
          <w:color w:val="000000"/>
          <w:sz w:val="28"/>
          <w:szCs w:val="28"/>
        </w:rPr>
        <w:t>ис.2.</w:t>
      </w:r>
    </w:p>
    <w:p w:rsidR="000544DF" w:rsidRDefault="000544DF" w:rsidP="000544D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544DF" w:rsidRDefault="00413175" w:rsidP="000151F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FD7D961" wp14:editId="46BB4F15">
            <wp:extent cx="6105525" cy="5572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51F3" w:rsidRDefault="000151F3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B2B0A" w:rsidRDefault="000B2B0A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9C1132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За підсумками </w:t>
      </w:r>
      <w:r w:rsidR="003200C7">
        <w:rPr>
          <w:rFonts w:ascii="TimesNewRomanPSMT" w:hAnsi="TimesNewRomanPSMT"/>
          <w:color w:val="000000"/>
          <w:sz w:val="28"/>
          <w:szCs w:val="28"/>
        </w:rPr>
        <w:t xml:space="preserve"> 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до бюджету зараховано </w:t>
      </w:r>
      <w:r w:rsidR="00BB7AC5">
        <w:rPr>
          <w:rFonts w:ascii="TimesNewRomanPSMT" w:hAnsi="TimesNewRomanPSMT"/>
          <w:color w:val="000000"/>
          <w:sz w:val="28"/>
          <w:szCs w:val="28"/>
        </w:rPr>
        <w:t>101729,1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BB7AC5">
        <w:rPr>
          <w:rFonts w:ascii="TimesNewRomanPSMT" w:hAnsi="TimesNewRomanPSMT"/>
          <w:color w:val="000000"/>
          <w:sz w:val="28"/>
          <w:szCs w:val="28"/>
        </w:rPr>
        <w:t>105,4</w:t>
      </w:r>
      <w:r w:rsidR="005949F0">
        <w:rPr>
          <w:rFonts w:ascii="TimesNewRomanPSMT" w:hAnsi="TimesNewRomanPSMT"/>
          <w:color w:val="000000"/>
          <w:sz w:val="28"/>
          <w:szCs w:val="28"/>
        </w:rPr>
        <w:t>%</w:t>
      </w:r>
      <w:r>
        <w:rPr>
          <w:rFonts w:ascii="TimesNewRomanPSMT" w:hAnsi="TimesNewRomanPSMT"/>
          <w:color w:val="000000"/>
          <w:sz w:val="28"/>
          <w:szCs w:val="28"/>
        </w:rPr>
        <w:t xml:space="preserve"> уточненого планового показника </w:t>
      </w:r>
      <w:r w:rsidR="00BB7AC5">
        <w:rPr>
          <w:rFonts w:ascii="TimesNewRomanPSMT" w:hAnsi="TimesNewRomanPSMT"/>
          <w:color w:val="000000"/>
          <w:sz w:val="28"/>
          <w:szCs w:val="28"/>
        </w:rPr>
        <w:t>96553,8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., з них:</w:t>
      </w:r>
    </w:p>
    <w:p w:rsidR="009C1132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до загального фонду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200C7">
        <w:rPr>
          <w:rFonts w:ascii="TimesNewRomanPSMT" w:hAnsi="TimesNewRomanPSMT"/>
          <w:color w:val="000000"/>
          <w:sz w:val="28"/>
          <w:szCs w:val="28"/>
        </w:rPr>
        <w:t>–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84A6E">
        <w:rPr>
          <w:rFonts w:ascii="TimesNewRomanPSMT" w:hAnsi="TimesNewRomanPSMT"/>
          <w:color w:val="000000"/>
          <w:sz w:val="28"/>
          <w:szCs w:val="28"/>
        </w:rPr>
        <w:t>95541,1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 (</w:t>
      </w:r>
      <w:r w:rsidR="00584A6E">
        <w:rPr>
          <w:rFonts w:ascii="TimesNewRomanPSMT" w:hAnsi="TimesNewRomanPSMT"/>
          <w:color w:val="000000"/>
          <w:sz w:val="28"/>
          <w:szCs w:val="28"/>
        </w:rPr>
        <w:t>105,7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</w:t>
      </w:r>
      <w:r w:rsidR="005949F0">
        <w:rPr>
          <w:rFonts w:ascii="TimesNewRomanPSMT" w:hAnsi="TimesNewRomanPSMT"/>
          <w:color w:val="000000"/>
          <w:sz w:val="28"/>
          <w:szCs w:val="28"/>
        </w:rPr>
        <w:t xml:space="preserve">більше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584A6E">
        <w:rPr>
          <w:rFonts w:ascii="TimesNewRomanPSMT" w:hAnsi="TimesNewRomanPSMT"/>
          <w:color w:val="000000"/>
          <w:sz w:val="28"/>
          <w:szCs w:val="28"/>
        </w:rPr>
        <w:t>5134,6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уточненого планового обсягу </w:t>
      </w:r>
      <w:r w:rsidR="00826F5F">
        <w:rPr>
          <w:rFonts w:ascii="TimesNewRomanPSMT" w:hAnsi="TimesNewRomanPSMT"/>
          <w:color w:val="000000"/>
          <w:sz w:val="28"/>
          <w:szCs w:val="28"/>
        </w:rPr>
        <w:t>65751,0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CB0876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 xml:space="preserve">до спеціального фонду </w:t>
      </w:r>
      <w:r w:rsidR="00A52D44"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="00584A6E">
        <w:rPr>
          <w:rFonts w:ascii="TimesNewRomanPSMT" w:hAnsi="TimesNewRomanPSMT"/>
          <w:color w:val="000000"/>
          <w:sz w:val="28"/>
          <w:szCs w:val="28"/>
        </w:rPr>
        <w:t>6188,0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 w:rsidR="00584A6E">
        <w:rPr>
          <w:rFonts w:ascii="TimesNewRomanPSMT" w:hAnsi="TimesNewRomanPSMT"/>
          <w:color w:val="000000"/>
          <w:sz w:val="28"/>
          <w:szCs w:val="28"/>
        </w:rPr>
        <w:t>100,7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більше на </w:t>
      </w:r>
      <w:r w:rsidR="00584A6E">
        <w:rPr>
          <w:rFonts w:ascii="TimesNewRomanPSMT" w:hAnsi="TimesNewRomanPSMT"/>
          <w:color w:val="000000"/>
          <w:sz w:val="28"/>
          <w:szCs w:val="28"/>
        </w:rPr>
        <w:t>40,7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від уточненого планового обсягу </w:t>
      </w:r>
      <w:r w:rsidR="00584A6E">
        <w:rPr>
          <w:rFonts w:ascii="TimesNewRomanPSMT" w:hAnsi="TimesNewRomanPSMT"/>
          <w:color w:val="000000"/>
          <w:sz w:val="28"/>
          <w:szCs w:val="28"/>
        </w:rPr>
        <w:t>6147,3</w:t>
      </w:r>
      <w:r w:rsidR="00C1191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C11910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C11910">
        <w:rPr>
          <w:rFonts w:ascii="TimesNewRomanPSMT" w:hAnsi="TimesNewRomanPSMT"/>
          <w:color w:val="000000"/>
          <w:sz w:val="28"/>
          <w:szCs w:val="28"/>
        </w:rPr>
        <w:t>.</w:t>
      </w:r>
    </w:p>
    <w:p w:rsidR="009C1132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Надходження офіційних трансфертів в звітному періоді становили </w:t>
      </w:r>
      <w:r w:rsidR="006C2BD1">
        <w:rPr>
          <w:rFonts w:ascii="TimesNewRomanPSMT" w:hAnsi="TimesNewRomanPSMT"/>
          <w:color w:val="000000"/>
          <w:sz w:val="28"/>
          <w:szCs w:val="28"/>
        </w:rPr>
        <w:t xml:space="preserve">    </w:t>
      </w:r>
      <w:r w:rsidR="00584A6E">
        <w:rPr>
          <w:rFonts w:ascii="TimesNewRomanPSMT" w:hAnsi="TimesNewRomanPSMT"/>
          <w:color w:val="000000"/>
          <w:sz w:val="28"/>
          <w:szCs w:val="28"/>
        </w:rPr>
        <w:t>60930,9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., або </w:t>
      </w:r>
      <w:r w:rsidR="00584A6E">
        <w:rPr>
          <w:rFonts w:ascii="TimesNewRomanPSMT" w:hAnsi="TimesNewRomanPSMT"/>
          <w:color w:val="000000"/>
          <w:sz w:val="28"/>
          <w:szCs w:val="28"/>
        </w:rPr>
        <w:t xml:space="preserve"> 99,9</w:t>
      </w:r>
      <w:r>
        <w:rPr>
          <w:rFonts w:ascii="TimesNewRomanPSMT" w:hAnsi="TimesNewRomanPSMT"/>
          <w:color w:val="000000"/>
          <w:sz w:val="28"/>
          <w:szCs w:val="28"/>
        </w:rPr>
        <w:t xml:space="preserve"> % уточненого планового обсягу та на </w:t>
      </w:r>
      <w:r w:rsidR="00584A6E">
        <w:rPr>
          <w:rFonts w:ascii="TimesNewRomanPSMT" w:hAnsi="TimesNewRomanPSMT"/>
          <w:color w:val="000000"/>
          <w:sz w:val="28"/>
          <w:szCs w:val="28"/>
        </w:rPr>
        <w:t>306,4</w:t>
      </w:r>
      <w:r w:rsidR="004C4319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6C2BD1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6C2BD1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584A6E">
        <w:rPr>
          <w:rFonts w:ascii="TimesNewRomanPSMT" w:hAnsi="TimesNewRomanPSMT"/>
          <w:color w:val="000000"/>
          <w:sz w:val="28"/>
          <w:szCs w:val="28"/>
        </w:rPr>
        <w:t>менше ніж</w:t>
      </w:r>
      <w:r w:rsidR="006C2BD1">
        <w:rPr>
          <w:rFonts w:ascii="TimesNewRomanPSMT" w:hAnsi="TimesNewRomanPSMT"/>
          <w:color w:val="000000"/>
          <w:sz w:val="28"/>
          <w:szCs w:val="28"/>
        </w:rPr>
        <w:t xml:space="preserve"> за 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</w:t>
      </w:r>
      <w:r w:rsidR="00584A6E">
        <w:rPr>
          <w:rFonts w:ascii="TimesNewRomanPSMT" w:hAnsi="TimesNewRomanPSMT"/>
          <w:color w:val="000000"/>
          <w:sz w:val="28"/>
          <w:szCs w:val="28"/>
        </w:rPr>
        <w:t>і</w:t>
      </w:r>
      <w:r>
        <w:rPr>
          <w:rFonts w:ascii="TimesNewRomanPSMT" w:hAnsi="TimesNewRomanPSMT"/>
          <w:color w:val="000000"/>
          <w:sz w:val="28"/>
          <w:szCs w:val="28"/>
        </w:rPr>
        <w:t>к.</w:t>
      </w:r>
    </w:p>
    <w:p w:rsidR="00892BD6" w:rsidRDefault="00892BD6" w:rsidP="009C1132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Структура бюджету громади за </w:t>
      </w:r>
      <w:r w:rsidR="006C2BD1">
        <w:rPr>
          <w:rFonts w:ascii="TimesNewRomanPSMT" w:hAnsi="TimesNewRomanPSMT"/>
          <w:color w:val="000000"/>
          <w:sz w:val="28"/>
          <w:szCs w:val="28"/>
        </w:rPr>
        <w:t xml:space="preserve"> 2019 р</w:t>
      </w:r>
      <w:r w:rsidR="000F633F">
        <w:rPr>
          <w:rFonts w:ascii="TimesNewRomanPSMT" w:hAnsi="TimesNewRomanPSMT"/>
          <w:color w:val="000000"/>
          <w:sz w:val="28"/>
          <w:szCs w:val="28"/>
        </w:rPr>
        <w:t>ік</w:t>
      </w:r>
      <w:r>
        <w:rPr>
          <w:rFonts w:ascii="TimesNewRomanPSMT" w:hAnsi="TimesNewRomanPSMT"/>
          <w:color w:val="000000"/>
          <w:sz w:val="28"/>
          <w:szCs w:val="28"/>
        </w:rPr>
        <w:t xml:space="preserve"> за основними джерелами доходів характеризується даними, наведеними у </w:t>
      </w:r>
      <w:r w:rsidR="000B2B0A">
        <w:rPr>
          <w:rFonts w:ascii="TimesNewRomanPSMT" w:hAnsi="TimesNewRomanPSMT"/>
          <w:color w:val="000000"/>
          <w:sz w:val="28"/>
          <w:szCs w:val="28"/>
        </w:rPr>
        <w:t>Р</w:t>
      </w:r>
      <w:r w:rsidR="00785C0F">
        <w:rPr>
          <w:rFonts w:ascii="TimesNewRomanPSMT" w:hAnsi="TimesNewRomanPSMT"/>
          <w:color w:val="000000"/>
          <w:sz w:val="28"/>
          <w:szCs w:val="28"/>
        </w:rPr>
        <w:t>ис.3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CB0876" w:rsidRDefault="00CB0876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F3A08" w:rsidRDefault="00AF3A08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AF3A08" w:rsidRDefault="00AF3A08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B2B0A" w:rsidRDefault="000B2B0A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92BD6" w:rsidRPr="000B2B0A" w:rsidRDefault="00785C0F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i/>
          <w:color w:val="000000"/>
          <w:sz w:val="32"/>
          <w:szCs w:val="32"/>
        </w:rPr>
      </w:pPr>
      <w:r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>Рис</w:t>
      </w:r>
      <w:r w:rsidR="00892BD6"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>.</w:t>
      </w:r>
      <w:r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 xml:space="preserve">3. </w:t>
      </w:r>
      <w:r w:rsidR="00892BD6"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 xml:space="preserve"> Структура дохідної частини  бюджету </w:t>
      </w:r>
      <w:r w:rsidR="000F633F"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>громади</w:t>
      </w:r>
    </w:p>
    <w:p w:rsidR="0070451E" w:rsidRPr="000B2B0A" w:rsidRDefault="00C11910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i/>
          <w:color w:val="000000"/>
          <w:sz w:val="32"/>
          <w:szCs w:val="32"/>
        </w:rPr>
      </w:pPr>
      <w:r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>за</w:t>
      </w:r>
      <w:r w:rsidR="00892BD6"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 xml:space="preserve"> </w:t>
      </w:r>
      <w:r w:rsidR="000F633F"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>2019 рі</w:t>
      </w:r>
      <w:r w:rsidRPr="000B2B0A">
        <w:rPr>
          <w:rFonts w:ascii="TimesNewRomanPS-BoldMT" w:hAnsi="TimesNewRomanPS-BoldMT"/>
          <w:b/>
          <w:bCs/>
          <w:i/>
          <w:color w:val="000000"/>
          <w:sz w:val="32"/>
          <w:szCs w:val="32"/>
        </w:rPr>
        <w:t>к</w:t>
      </w:r>
    </w:p>
    <w:p w:rsidR="00C501E5" w:rsidRDefault="00C501E5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C6F39" w:rsidRDefault="00F53649" w:rsidP="00F53649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53649">
        <w:rPr>
          <w:rFonts w:ascii="TimesNewRomanPS-BoldMT" w:hAnsi="TimesNewRomanPS-BoldMT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2B36AF5" wp14:editId="081AE2F8">
            <wp:extent cx="6286500" cy="5562600"/>
            <wp:effectExtent l="57150" t="57150" r="38100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3A08" w:rsidRDefault="00AF3A08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AF3A08" w:rsidRDefault="00AF3A08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554FD" w:rsidRPr="005554FD" w:rsidRDefault="006177AD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 загального фонду 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>бюджету</w:t>
      </w:r>
      <w:r>
        <w:rPr>
          <w:rFonts w:ascii="TimesNewRomanPSMT" w:hAnsi="TimesNewRomanPSMT"/>
          <w:color w:val="000000"/>
          <w:sz w:val="28"/>
          <w:szCs w:val="28"/>
        </w:rPr>
        <w:t xml:space="preserve"> громади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надійшло власних доходів у сумі                  </w:t>
      </w:r>
      <w:r w:rsidR="00C76380">
        <w:rPr>
          <w:rFonts w:ascii="TimesNewRomanPSMT" w:hAnsi="TimesNewRomanPSMT"/>
          <w:color w:val="000000"/>
          <w:sz w:val="28"/>
          <w:szCs w:val="28"/>
        </w:rPr>
        <w:t>95541,1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5554FD" w:rsidRPr="005554F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., або </w:t>
      </w:r>
      <w:r w:rsidR="00C76380">
        <w:rPr>
          <w:rFonts w:ascii="TimesNewRomanPSMT" w:hAnsi="TimesNewRomanPSMT"/>
          <w:color w:val="000000"/>
          <w:sz w:val="28"/>
          <w:szCs w:val="28"/>
        </w:rPr>
        <w:t>105,7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% до затвердженого плану з урахуванням змін на </w:t>
      </w:r>
      <w:r w:rsidR="006651DC">
        <w:rPr>
          <w:rFonts w:ascii="TimesNewRomanPSMT" w:hAnsi="TimesNewRomanPSMT"/>
          <w:color w:val="000000"/>
          <w:sz w:val="28"/>
          <w:szCs w:val="28"/>
        </w:rPr>
        <w:t>2019 р</w:t>
      </w:r>
      <w:r w:rsidR="00C76380">
        <w:rPr>
          <w:rFonts w:ascii="TimesNewRomanPSMT" w:hAnsi="TimesNewRomanPSMT"/>
          <w:color w:val="000000"/>
          <w:sz w:val="28"/>
          <w:szCs w:val="28"/>
        </w:rPr>
        <w:t>і</w:t>
      </w:r>
      <w:r w:rsidR="006651DC">
        <w:rPr>
          <w:rFonts w:ascii="TimesNewRomanPSMT" w:hAnsi="TimesNewRomanPSMT"/>
          <w:color w:val="000000"/>
          <w:sz w:val="28"/>
          <w:szCs w:val="28"/>
        </w:rPr>
        <w:t>к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. Темп росту доходів порівняно з відповідним періодом минулого року склав </w:t>
      </w:r>
      <w:r w:rsidR="00C76380">
        <w:rPr>
          <w:rFonts w:ascii="TimesNewRomanPSMT" w:hAnsi="TimesNewRomanPSMT"/>
          <w:color w:val="000000"/>
          <w:sz w:val="28"/>
          <w:szCs w:val="28"/>
        </w:rPr>
        <w:t>117,2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>%  (+</w:t>
      </w:r>
      <w:r w:rsidR="00C76380">
        <w:rPr>
          <w:rFonts w:ascii="TimesNewRomanPSMT" w:hAnsi="TimesNewRomanPSMT"/>
          <w:color w:val="000000"/>
          <w:sz w:val="28"/>
          <w:szCs w:val="28"/>
        </w:rPr>
        <w:t>13998,7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5554FD" w:rsidRPr="005554F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.). </w:t>
      </w:r>
    </w:p>
    <w:p w:rsidR="005554FD" w:rsidRDefault="005554FD" w:rsidP="00CD6885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554FD">
        <w:rPr>
          <w:rFonts w:ascii="TimesNewRomanPSMT" w:hAnsi="TimesNewRomanPSMT"/>
          <w:color w:val="000000"/>
          <w:sz w:val="28"/>
          <w:szCs w:val="28"/>
        </w:rPr>
        <w:t>У структурі доходів найбільшу питому вагу мають податок на доходи фізичних осіб (</w:t>
      </w:r>
      <w:r w:rsidR="00C76380">
        <w:rPr>
          <w:rFonts w:ascii="TimesNewRomanPSMT" w:hAnsi="TimesNewRomanPSMT"/>
          <w:color w:val="000000"/>
          <w:sz w:val="28"/>
          <w:szCs w:val="28"/>
        </w:rPr>
        <w:t>54,8</w:t>
      </w:r>
      <w:r w:rsidRPr="005554FD">
        <w:rPr>
          <w:rFonts w:ascii="TimesNewRomanPSMT" w:hAnsi="TimesNewRomanPSMT"/>
          <w:color w:val="000000"/>
          <w:sz w:val="28"/>
          <w:szCs w:val="28"/>
        </w:rPr>
        <w:t>%), плата за землю (</w:t>
      </w:r>
      <w:r w:rsidR="00C76380">
        <w:rPr>
          <w:rFonts w:ascii="TimesNewRomanPSMT" w:hAnsi="TimesNewRomanPSMT"/>
          <w:color w:val="000000"/>
          <w:sz w:val="28"/>
          <w:szCs w:val="28"/>
          <w:lang w:val="ru-RU"/>
        </w:rPr>
        <w:t>20,2</w:t>
      </w:r>
      <w:r w:rsidRPr="005554FD">
        <w:rPr>
          <w:rFonts w:ascii="TimesNewRomanPSMT" w:hAnsi="TimesNewRomanPSMT"/>
          <w:color w:val="000000"/>
          <w:sz w:val="28"/>
          <w:szCs w:val="28"/>
        </w:rPr>
        <w:t>%), єдиний податок (</w:t>
      </w:r>
      <w:r w:rsidR="00C76380">
        <w:rPr>
          <w:rFonts w:ascii="TimesNewRomanPSMT" w:hAnsi="TimesNewRomanPSMT"/>
          <w:color w:val="000000"/>
          <w:sz w:val="28"/>
          <w:szCs w:val="28"/>
        </w:rPr>
        <w:t>15,2</w:t>
      </w:r>
      <w:r w:rsidRPr="005554FD">
        <w:rPr>
          <w:rFonts w:ascii="TimesNewRomanPSMT" w:hAnsi="TimesNewRomanPSMT"/>
          <w:color w:val="000000"/>
          <w:sz w:val="28"/>
          <w:szCs w:val="28"/>
        </w:rPr>
        <w:t>%).</w:t>
      </w:r>
    </w:p>
    <w:p w:rsidR="00CB0876" w:rsidRDefault="00CB0876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F3A08" w:rsidRDefault="00AF3A08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06F" w:rsidRDefault="00FA6059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E669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0B2B0A" w:rsidRPr="004E669D" w:rsidRDefault="000B2B0A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9228A" w:rsidRDefault="005554FD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E669D">
        <w:rPr>
          <w:rFonts w:ascii="TimesNewRomanPSMT" w:hAnsi="TimesNewRomanPSMT"/>
          <w:color w:val="000000"/>
          <w:sz w:val="28"/>
          <w:szCs w:val="28"/>
        </w:rPr>
        <w:t>По податку на доходи фізичних осіб при уточненому плані на</w:t>
      </w:r>
      <w:r w:rsidR="0091039F" w:rsidRPr="004E669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24E91" w:rsidRPr="004E669D">
        <w:rPr>
          <w:rFonts w:ascii="TimesNewRomanPSMT" w:hAnsi="TimesNewRomanPSMT"/>
          <w:color w:val="000000"/>
          <w:sz w:val="28"/>
          <w:szCs w:val="28"/>
        </w:rPr>
        <w:t>2019 р</w:t>
      </w:r>
      <w:r w:rsidR="004E669D">
        <w:rPr>
          <w:rFonts w:ascii="TimesNewRomanPSMT" w:hAnsi="TimesNewRomanPSMT"/>
          <w:color w:val="000000"/>
          <w:sz w:val="28"/>
          <w:szCs w:val="28"/>
        </w:rPr>
        <w:t>ік</w:t>
      </w:r>
      <w:r w:rsidRPr="004E669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E669D">
        <w:rPr>
          <w:rFonts w:ascii="TimesNewRomanPSMT" w:hAnsi="TimesNewRomanPSMT"/>
          <w:color w:val="000000"/>
          <w:sz w:val="28"/>
          <w:szCs w:val="28"/>
        </w:rPr>
        <w:t xml:space="preserve">-49054,3 </w:t>
      </w:r>
      <w:proofErr w:type="spellStart"/>
      <w:r w:rsidRPr="004E669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4E669D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4E669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E669D">
        <w:rPr>
          <w:rFonts w:ascii="TimesNewRomanPSMT" w:hAnsi="TimesNewRomanPSMT"/>
          <w:color w:val="000000"/>
          <w:sz w:val="28"/>
          <w:szCs w:val="28"/>
        </w:rPr>
        <w:t xml:space="preserve">фактично надійшло </w:t>
      </w:r>
      <w:r w:rsidR="004E669D">
        <w:rPr>
          <w:rFonts w:ascii="TimesNewRomanPSMT" w:hAnsi="TimesNewRomanPSMT"/>
          <w:color w:val="000000"/>
          <w:sz w:val="28"/>
          <w:szCs w:val="28"/>
        </w:rPr>
        <w:t>- 52387,2</w:t>
      </w:r>
      <w:r w:rsidR="004E669D" w:rsidRPr="004E669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E669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4E669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4E669D">
        <w:rPr>
          <w:rFonts w:ascii="TimesNewRomanPSMT" w:hAnsi="TimesNewRomanPSMT"/>
          <w:color w:val="000000"/>
          <w:sz w:val="28"/>
          <w:szCs w:val="28"/>
        </w:rPr>
        <w:t xml:space="preserve">., що становить </w:t>
      </w:r>
      <w:r w:rsidR="004F5277" w:rsidRPr="004E669D">
        <w:rPr>
          <w:rFonts w:ascii="TimesNewRomanPSMT" w:hAnsi="TimesNewRomanPSMT"/>
          <w:color w:val="000000"/>
          <w:sz w:val="28"/>
          <w:szCs w:val="28"/>
        </w:rPr>
        <w:t>98,4</w:t>
      </w:r>
      <w:r w:rsidRPr="004E669D">
        <w:rPr>
          <w:rFonts w:ascii="TimesNewRomanPSMT" w:hAnsi="TimesNewRomanPSMT"/>
          <w:color w:val="000000"/>
          <w:sz w:val="28"/>
          <w:szCs w:val="28"/>
        </w:rPr>
        <w:t xml:space="preserve">%. </w:t>
      </w:r>
      <w:r w:rsidRPr="004E669D">
        <w:rPr>
          <w:rFonts w:ascii="TimesNewRomanPSMT" w:hAnsi="TimesNewRomanPSMT"/>
          <w:color w:val="000000"/>
          <w:sz w:val="28"/>
          <w:szCs w:val="28"/>
        </w:rPr>
        <w:lastRenderedPageBreak/>
        <w:t xml:space="preserve">Темп росту у порівнянні з аналогічним періодом минулого року становить </w:t>
      </w:r>
      <w:r w:rsidR="00024E91" w:rsidRPr="004E669D">
        <w:rPr>
          <w:rFonts w:ascii="TimesNewRomanPSMT" w:hAnsi="TimesNewRomanPSMT"/>
          <w:color w:val="000000"/>
          <w:sz w:val="28"/>
          <w:szCs w:val="28"/>
        </w:rPr>
        <w:t xml:space="preserve">     </w:t>
      </w:r>
      <w:r w:rsidRPr="004E669D">
        <w:rPr>
          <w:rFonts w:ascii="TimesNewRomanPSMT" w:hAnsi="TimesNewRomanPSMT"/>
          <w:color w:val="000000"/>
          <w:sz w:val="28"/>
          <w:szCs w:val="28"/>
        </w:rPr>
        <w:t>+</w:t>
      </w:r>
      <w:r w:rsidR="004E669D">
        <w:rPr>
          <w:rFonts w:ascii="TimesNewRomanPSMT" w:hAnsi="TimesNewRomanPSMT"/>
          <w:color w:val="000000"/>
          <w:sz w:val="28"/>
          <w:szCs w:val="28"/>
        </w:rPr>
        <w:t>13,0</w:t>
      </w:r>
      <w:r w:rsidRPr="004E669D">
        <w:rPr>
          <w:rFonts w:ascii="TimesNewRomanPSMT" w:hAnsi="TimesNewRomanPSMT"/>
          <w:color w:val="000000"/>
          <w:sz w:val="28"/>
          <w:szCs w:val="28"/>
        </w:rPr>
        <w:t xml:space="preserve">% (збільшився на </w:t>
      </w:r>
      <w:r w:rsidR="004E669D">
        <w:rPr>
          <w:rFonts w:ascii="TimesNewRomanPSMT" w:hAnsi="TimesNewRomanPSMT"/>
          <w:color w:val="000000"/>
          <w:sz w:val="28"/>
          <w:szCs w:val="28"/>
        </w:rPr>
        <w:t>6042,9</w:t>
      </w:r>
      <w:r w:rsidR="0091039F" w:rsidRPr="004E669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A9228A" w:rsidRPr="004E669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A9228A" w:rsidRPr="004E669D">
        <w:rPr>
          <w:rFonts w:ascii="TimesNewRomanPSMT" w:hAnsi="TimesNewRomanPSMT"/>
          <w:color w:val="000000"/>
          <w:sz w:val="28"/>
          <w:szCs w:val="28"/>
        </w:rPr>
        <w:t>.), що пояснюється збільшенням</w:t>
      </w:r>
      <w:r w:rsidR="00A9228A">
        <w:rPr>
          <w:rFonts w:ascii="TimesNewRomanPSMT" w:hAnsi="TimesNewRomanPSMT"/>
          <w:color w:val="000000"/>
          <w:sz w:val="28"/>
          <w:szCs w:val="28"/>
        </w:rPr>
        <w:t xml:space="preserve"> фонду оплати праці за рахунок</w:t>
      </w:r>
      <w:r w:rsidR="001C3C0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9228A">
        <w:rPr>
          <w:rFonts w:ascii="TimesNewRomanPSMT" w:hAnsi="TimesNewRomanPSMT"/>
          <w:color w:val="000000"/>
          <w:sz w:val="28"/>
          <w:szCs w:val="28"/>
        </w:rPr>
        <w:t xml:space="preserve">зростання мінімальної заробітної плати до </w:t>
      </w:r>
      <w:r w:rsidR="00024E91">
        <w:rPr>
          <w:rFonts w:ascii="TimesNewRomanPSMT" w:hAnsi="TimesNewRomanPSMT"/>
          <w:color w:val="000000"/>
          <w:sz w:val="28"/>
          <w:szCs w:val="28"/>
        </w:rPr>
        <w:t>4173</w:t>
      </w:r>
      <w:r w:rsidR="00EE6A38">
        <w:rPr>
          <w:rFonts w:ascii="TimesNewRomanPSMT" w:hAnsi="TimesNewRomanPSMT"/>
          <w:color w:val="000000"/>
          <w:sz w:val="28"/>
          <w:szCs w:val="28"/>
        </w:rPr>
        <w:t>,0 грн.</w:t>
      </w:r>
      <w:r w:rsidR="001C3C0D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1C3C0D" w:rsidRDefault="001C3C0D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A3609" w:rsidRDefault="00CE41F8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486400" cy="2000250"/>
            <wp:effectExtent l="57150" t="0" r="76200" b="7620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0451E" w:rsidRDefault="0070451E" w:rsidP="00841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680" w:rsidRDefault="00841CAA" w:rsidP="00775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Податку на майно, відмінне від земельної ділянки </w:t>
      </w:r>
      <w:r w:rsidR="0096244E" w:rsidRPr="00AD47F1">
        <w:rPr>
          <w:rFonts w:ascii="Times New Roman" w:hAnsi="Times New Roman" w:cs="Times New Roman"/>
          <w:color w:val="000000"/>
          <w:sz w:val="28"/>
          <w:szCs w:val="28"/>
        </w:rPr>
        <w:t>надійшло</w:t>
      </w:r>
      <w:r w:rsidRPr="00841CAA">
        <w:rPr>
          <w:rFonts w:ascii="Times New Roman" w:hAnsi="Times New Roman" w:cs="Times New Roman"/>
          <w:color w:val="000000"/>
          <w:sz w:val="28"/>
          <w:szCs w:val="28"/>
        </w:rPr>
        <w:t xml:space="preserve"> до бюджету </w:t>
      </w:r>
      <w:r w:rsidR="001C3C0D">
        <w:rPr>
          <w:rFonts w:ascii="Times New Roman" w:hAnsi="Times New Roman" w:cs="Times New Roman"/>
          <w:color w:val="000000"/>
          <w:sz w:val="28"/>
          <w:szCs w:val="28"/>
        </w:rPr>
        <w:t>громади у</w:t>
      </w:r>
      <w:r w:rsidRPr="00841CAA">
        <w:rPr>
          <w:rFonts w:ascii="Times New Roman" w:hAnsi="Times New Roman" w:cs="Times New Roman"/>
          <w:color w:val="000000"/>
          <w:sz w:val="28"/>
          <w:szCs w:val="28"/>
        </w:rPr>
        <w:t xml:space="preserve"> сумі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3C0D">
        <w:rPr>
          <w:rFonts w:ascii="Times New Roman" w:hAnsi="Times New Roman" w:cs="Times New Roman"/>
          <w:color w:val="000000"/>
          <w:sz w:val="28"/>
          <w:szCs w:val="28"/>
        </w:rPr>
        <w:t>1289,1</w:t>
      </w:r>
      <w:r w:rsidRPr="00841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1CA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41C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47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3C0D">
        <w:rPr>
          <w:rFonts w:ascii="Times New Roman" w:hAnsi="Times New Roman" w:cs="Times New Roman"/>
          <w:color w:val="000000"/>
          <w:sz w:val="28"/>
          <w:szCs w:val="28"/>
        </w:rPr>
        <w:t xml:space="preserve">або 102,4% до плану з урахуванням змін. </w:t>
      </w:r>
      <w:r w:rsidR="00710680">
        <w:rPr>
          <w:rFonts w:ascii="Times New Roman" w:hAnsi="Times New Roman" w:cs="Times New Roman"/>
          <w:color w:val="000000"/>
          <w:sz w:val="28"/>
          <w:szCs w:val="28"/>
        </w:rPr>
        <w:t>В порівняні з 2018 роком</w:t>
      </w:r>
      <w:r w:rsidR="001C3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680">
        <w:rPr>
          <w:rFonts w:ascii="Times New Roman" w:hAnsi="Times New Roman" w:cs="Times New Roman"/>
          <w:color w:val="000000"/>
          <w:sz w:val="28"/>
          <w:szCs w:val="28"/>
        </w:rPr>
        <w:t xml:space="preserve">надходження збільшились на 1136,5 </w:t>
      </w:r>
      <w:proofErr w:type="spellStart"/>
      <w:r w:rsidR="00710680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7106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75B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10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BB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75BB8" w:rsidRPr="00775BB8">
        <w:rPr>
          <w:rFonts w:ascii="Times New Roman" w:hAnsi="Times New Roman" w:cs="Times New Roman"/>
          <w:iCs/>
          <w:color w:val="000000"/>
          <w:sz w:val="28"/>
          <w:szCs w:val="28"/>
        </w:rPr>
        <w:t>більшення</w:t>
      </w:r>
      <w:r w:rsidR="00775BB8" w:rsidRPr="00775BB8">
        <w:rPr>
          <w:rFonts w:ascii="Times New Roman" w:hAnsi="Times New Roman" w:cs="Times New Roman"/>
          <w:color w:val="000000"/>
          <w:sz w:val="28"/>
          <w:szCs w:val="28"/>
        </w:rPr>
        <w:t xml:space="preserve"> надходжень </w:t>
      </w:r>
      <w:r w:rsidR="00775BB8" w:rsidRPr="00775BB8">
        <w:rPr>
          <w:rFonts w:ascii="Times New Roman" w:hAnsi="Times New Roman" w:cs="Times New Roman"/>
          <w:iCs/>
          <w:color w:val="000000"/>
          <w:sz w:val="28"/>
          <w:szCs w:val="28"/>
        </w:rPr>
        <w:t>відбулося за рахунок збільшення</w:t>
      </w:r>
      <w:r w:rsidR="00775BB8" w:rsidRPr="00775BB8">
        <w:rPr>
          <w:rFonts w:ascii="Times New Roman" w:hAnsi="Times New Roman" w:cs="Times New Roman"/>
          <w:color w:val="000000"/>
          <w:sz w:val="28"/>
          <w:szCs w:val="28"/>
        </w:rPr>
        <w:t xml:space="preserve"> відсоткової ставки </w:t>
      </w:r>
      <w:r w:rsidR="00775BB8">
        <w:rPr>
          <w:rFonts w:ascii="Times New Roman" w:hAnsi="Times New Roman" w:cs="Times New Roman"/>
          <w:color w:val="000000"/>
          <w:sz w:val="28"/>
          <w:szCs w:val="28"/>
        </w:rPr>
        <w:t>на 2019 рік.</w:t>
      </w:r>
    </w:p>
    <w:p w:rsidR="00775BB8" w:rsidRDefault="00775BB8" w:rsidP="00841C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1CAA" w:rsidRDefault="00841CAA" w:rsidP="00841C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C20D6B" w:rsidRPr="00841CAA">
        <w:rPr>
          <w:rFonts w:ascii="Times New Roman" w:hAnsi="Times New Roman" w:cs="Times New Roman"/>
          <w:b/>
          <w:sz w:val="28"/>
          <w:szCs w:val="28"/>
          <w:u w:val="single"/>
        </w:rPr>
        <w:t>лат</w:t>
      </w:r>
      <w:r w:rsidRPr="00841CA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0D6B" w:rsidRPr="00841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землю</w:t>
      </w:r>
    </w:p>
    <w:p w:rsidR="00A80210" w:rsidRPr="00FE670E" w:rsidRDefault="007A1527" w:rsidP="00051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527">
        <w:rPr>
          <w:rFonts w:ascii="Times New Roman" w:hAnsi="Times New Roman" w:cs="Times New Roman"/>
          <w:sz w:val="28"/>
          <w:szCs w:val="28"/>
        </w:rPr>
        <w:t xml:space="preserve">Плата за землю є вагомим джерелом доходів бюджету громади та є другим за обсягом джерелом надходжень доходів після податку на доходи фізичних осіб. </w:t>
      </w:r>
      <w:r w:rsidR="00841CAA">
        <w:rPr>
          <w:rFonts w:ascii="Times New Roman" w:hAnsi="Times New Roman" w:cs="Times New Roman"/>
          <w:sz w:val="28"/>
          <w:szCs w:val="28"/>
        </w:rPr>
        <w:t>Пр</w:t>
      </w:r>
      <w:r w:rsidR="00C20D6B" w:rsidRPr="00FE670E">
        <w:rPr>
          <w:rFonts w:ascii="Times New Roman" w:hAnsi="Times New Roman" w:cs="Times New Roman"/>
          <w:sz w:val="28"/>
          <w:szCs w:val="28"/>
        </w:rPr>
        <w:t>и</w:t>
      </w:r>
      <w:r w:rsidR="007B5073">
        <w:rPr>
          <w:rFonts w:ascii="Times New Roman" w:hAnsi="Times New Roman" w:cs="Times New Roman"/>
          <w:sz w:val="28"/>
          <w:szCs w:val="28"/>
        </w:rPr>
        <w:t xml:space="preserve"> уточненому </w:t>
      </w:r>
      <w:r w:rsidR="00C20D6B" w:rsidRPr="00FE670E">
        <w:rPr>
          <w:rFonts w:ascii="Times New Roman" w:hAnsi="Times New Roman" w:cs="Times New Roman"/>
          <w:sz w:val="28"/>
          <w:szCs w:val="28"/>
        </w:rPr>
        <w:t>плані</w:t>
      </w:r>
      <w:r w:rsidR="007B5073">
        <w:rPr>
          <w:rFonts w:ascii="Times New Roman" w:hAnsi="Times New Roman" w:cs="Times New Roman"/>
          <w:sz w:val="28"/>
          <w:szCs w:val="28"/>
        </w:rPr>
        <w:t xml:space="preserve"> плати за землю 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на </w:t>
      </w:r>
      <w:r w:rsidR="00AD47F1">
        <w:rPr>
          <w:rFonts w:ascii="Times New Roman" w:hAnsi="Times New Roman" w:cs="Times New Roman"/>
          <w:sz w:val="28"/>
          <w:szCs w:val="28"/>
        </w:rPr>
        <w:t>2019 р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D47F1">
        <w:rPr>
          <w:rFonts w:ascii="Times New Roman" w:hAnsi="Times New Roman" w:cs="Times New Roman"/>
          <w:sz w:val="28"/>
          <w:szCs w:val="28"/>
        </w:rPr>
        <w:t>к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 </w:t>
      </w:r>
      <w:r w:rsidR="00296310">
        <w:rPr>
          <w:rFonts w:ascii="Times New Roman" w:hAnsi="Times New Roman" w:cs="Times New Roman"/>
          <w:sz w:val="28"/>
          <w:szCs w:val="28"/>
        </w:rPr>
        <w:t xml:space="preserve"> </w:t>
      </w:r>
      <w:r w:rsidR="00357A30">
        <w:rPr>
          <w:rFonts w:ascii="Times New Roman" w:hAnsi="Times New Roman" w:cs="Times New Roman"/>
          <w:sz w:val="28"/>
          <w:szCs w:val="28"/>
        </w:rPr>
        <w:t xml:space="preserve">18172,6 </w:t>
      </w:r>
      <w:proofErr w:type="spellStart"/>
      <w:r w:rsidR="00C20D6B" w:rsidRPr="00FE670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0D6B" w:rsidRPr="00FE670E">
        <w:rPr>
          <w:rFonts w:ascii="Times New Roman" w:hAnsi="Times New Roman" w:cs="Times New Roman"/>
          <w:sz w:val="28"/>
          <w:szCs w:val="28"/>
        </w:rPr>
        <w:t xml:space="preserve">. фактично надійшло </w:t>
      </w:r>
      <w:r w:rsidR="00357A30">
        <w:rPr>
          <w:rFonts w:ascii="Times New Roman" w:hAnsi="Times New Roman" w:cs="Times New Roman"/>
          <w:sz w:val="28"/>
          <w:szCs w:val="28"/>
        </w:rPr>
        <w:t>19287,3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D6B" w:rsidRPr="00FE670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0D6B" w:rsidRPr="00FE670E">
        <w:rPr>
          <w:rFonts w:ascii="Times New Roman" w:hAnsi="Times New Roman" w:cs="Times New Roman"/>
          <w:sz w:val="28"/>
          <w:szCs w:val="28"/>
        </w:rPr>
        <w:t xml:space="preserve">., що становить </w:t>
      </w:r>
      <w:r w:rsidR="00357A30">
        <w:rPr>
          <w:rFonts w:ascii="Times New Roman" w:hAnsi="Times New Roman" w:cs="Times New Roman"/>
          <w:sz w:val="28"/>
          <w:szCs w:val="28"/>
        </w:rPr>
        <w:t>106,1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%. Темп росту у  порівнянні з </w:t>
      </w:r>
      <w:r w:rsidR="00C20D6B" w:rsidRPr="00FE670E">
        <w:rPr>
          <w:rFonts w:ascii="Times New Roman" w:hAnsi="Times New Roman" w:cs="Times New Roman"/>
          <w:bCs/>
          <w:sz w:val="28"/>
          <w:szCs w:val="28"/>
        </w:rPr>
        <w:t xml:space="preserve">аналогічним періодом минулого року </w:t>
      </w:r>
      <w:r w:rsidR="00731C33">
        <w:rPr>
          <w:rFonts w:ascii="Times New Roman" w:hAnsi="Times New Roman" w:cs="Times New Roman"/>
          <w:bCs/>
          <w:sz w:val="28"/>
          <w:szCs w:val="28"/>
        </w:rPr>
        <w:t xml:space="preserve">становить </w:t>
      </w:r>
      <w:r w:rsidR="00CB0876">
        <w:rPr>
          <w:rFonts w:ascii="Times New Roman" w:hAnsi="Times New Roman" w:cs="Times New Roman"/>
          <w:bCs/>
          <w:sz w:val="28"/>
          <w:szCs w:val="28"/>
        </w:rPr>
        <w:t>+</w:t>
      </w:r>
      <w:r w:rsidR="00CB1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467">
        <w:rPr>
          <w:rFonts w:ascii="Times New Roman" w:hAnsi="Times New Roman" w:cs="Times New Roman"/>
          <w:bCs/>
          <w:sz w:val="28"/>
          <w:szCs w:val="28"/>
        </w:rPr>
        <w:t xml:space="preserve">6523,7 </w:t>
      </w:r>
      <w:proofErr w:type="spellStart"/>
      <w:r w:rsidR="00F939AF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F939AF">
        <w:rPr>
          <w:rFonts w:ascii="Times New Roman" w:hAnsi="Times New Roman" w:cs="Times New Roman"/>
          <w:bCs/>
          <w:sz w:val="28"/>
          <w:szCs w:val="28"/>
        </w:rPr>
        <w:t>.</w:t>
      </w:r>
      <w:r w:rsidR="00731C33">
        <w:rPr>
          <w:rFonts w:ascii="Times New Roman" w:hAnsi="Times New Roman" w:cs="Times New Roman"/>
          <w:bCs/>
          <w:sz w:val="28"/>
          <w:szCs w:val="28"/>
        </w:rPr>
        <w:t xml:space="preserve"> або </w:t>
      </w:r>
      <w:r w:rsidR="00357A30">
        <w:rPr>
          <w:rFonts w:ascii="Times New Roman" w:hAnsi="Times New Roman" w:cs="Times New Roman"/>
          <w:bCs/>
          <w:sz w:val="28"/>
          <w:szCs w:val="28"/>
        </w:rPr>
        <w:t>151,1</w:t>
      </w:r>
      <w:r w:rsidR="00731C33">
        <w:rPr>
          <w:rFonts w:ascii="Times New Roman" w:hAnsi="Times New Roman" w:cs="Times New Roman"/>
          <w:bCs/>
          <w:sz w:val="28"/>
          <w:szCs w:val="28"/>
        </w:rPr>
        <w:t>%</w:t>
      </w:r>
      <w:r w:rsidR="00C20D6B" w:rsidRPr="00FE67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C33">
        <w:rPr>
          <w:rFonts w:ascii="Times New Roman" w:hAnsi="Times New Roman" w:cs="Times New Roman"/>
          <w:bCs/>
          <w:sz w:val="28"/>
          <w:szCs w:val="28"/>
        </w:rPr>
        <w:t>.</w:t>
      </w:r>
    </w:p>
    <w:p w:rsidR="00A80210" w:rsidRDefault="00A80210" w:rsidP="00B668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динаміки надходжень плати за землю </w:t>
      </w:r>
      <w:r w:rsidR="000B2B0A">
        <w:rPr>
          <w:rFonts w:ascii="Times New Roman" w:hAnsi="Times New Roman" w:cs="Times New Roman"/>
          <w:color w:val="000000"/>
          <w:sz w:val="28"/>
          <w:szCs w:val="28"/>
        </w:rPr>
        <w:t xml:space="preserve">до бюджету громади </w:t>
      </w:r>
      <w:r w:rsidR="00A074E7"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у розрізі платежів </w:t>
      </w:r>
      <w:r w:rsidR="00296310">
        <w:rPr>
          <w:rFonts w:ascii="Times New Roman" w:hAnsi="Times New Roman" w:cs="Times New Roman"/>
          <w:color w:val="000000"/>
          <w:sz w:val="28"/>
          <w:szCs w:val="28"/>
        </w:rPr>
        <w:t xml:space="preserve">за  </w:t>
      </w:r>
      <w:r w:rsidR="006F278B">
        <w:rPr>
          <w:rFonts w:ascii="Times New Roman" w:hAnsi="Times New Roman" w:cs="Times New Roman"/>
          <w:color w:val="000000"/>
          <w:sz w:val="28"/>
          <w:szCs w:val="28"/>
        </w:rPr>
        <w:t>2019 р</w:t>
      </w:r>
      <w:r w:rsidR="000B2B0A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6F278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 характ</w:t>
      </w:r>
      <w:r w:rsidR="00CB0876">
        <w:rPr>
          <w:rFonts w:ascii="Times New Roman" w:hAnsi="Times New Roman" w:cs="Times New Roman"/>
          <w:color w:val="000000"/>
          <w:sz w:val="28"/>
          <w:szCs w:val="28"/>
        </w:rPr>
        <w:t xml:space="preserve">еризується даними, наведеними на </w:t>
      </w:r>
      <w:r w:rsidR="00A7493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B0876">
        <w:rPr>
          <w:rFonts w:ascii="Times New Roman" w:hAnsi="Times New Roman" w:cs="Times New Roman"/>
          <w:color w:val="000000"/>
          <w:sz w:val="28"/>
          <w:szCs w:val="28"/>
        </w:rPr>
        <w:t>ис.</w:t>
      </w:r>
      <w:r w:rsidR="00A7493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493E" w:rsidRDefault="00A7493E" w:rsidP="00B668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3A8A" w:rsidRPr="000B2B0A" w:rsidRDefault="00A7493E" w:rsidP="00A7493E">
      <w:pPr>
        <w:spacing w:after="0" w:line="240" w:lineRule="auto"/>
        <w:ind w:firstLine="709"/>
        <w:jc w:val="center"/>
        <w:rPr>
          <w:rFonts w:eastAsia="MS Mincho"/>
          <w:b/>
          <w:i/>
          <w:sz w:val="32"/>
          <w:szCs w:val="32"/>
        </w:rPr>
      </w:pPr>
      <w:r w:rsidRPr="000B2B0A">
        <w:rPr>
          <w:rFonts w:eastAsia="MS Mincho"/>
          <w:b/>
          <w:i/>
          <w:sz w:val="32"/>
          <w:szCs w:val="32"/>
        </w:rPr>
        <w:t>Рис.4</w:t>
      </w:r>
      <w:r w:rsidR="00AF3A08" w:rsidRPr="000B2B0A">
        <w:rPr>
          <w:rFonts w:eastAsia="MS Mincho"/>
          <w:b/>
          <w:i/>
          <w:sz w:val="32"/>
          <w:szCs w:val="32"/>
        </w:rPr>
        <w:t>.</w:t>
      </w:r>
      <w:r w:rsidRPr="000B2B0A">
        <w:rPr>
          <w:rFonts w:eastAsia="MS Mincho"/>
          <w:b/>
          <w:i/>
          <w:sz w:val="32"/>
          <w:szCs w:val="32"/>
        </w:rPr>
        <w:t xml:space="preserve"> Структура динаміки надходжень плати за землю</w:t>
      </w:r>
      <w:r w:rsidR="000B2B0A">
        <w:rPr>
          <w:rFonts w:eastAsia="MS Mincho"/>
          <w:b/>
          <w:i/>
          <w:sz w:val="32"/>
          <w:szCs w:val="32"/>
        </w:rPr>
        <w:t xml:space="preserve"> </w:t>
      </w:r>
    </w:p>
    <w:p w:rsidR="00CB0876" w:rsidRDefault="009A6042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6162675" cy="1647825"/>
            <wp:effectExtent l="76200" t="57150" r="66675" b="47625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A17322" w:rsidRDefault="00B6687D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6CEBF769" wp14:editId="337F6477">
            <wp:extent cx="6162675" cy="1571625"/>
            <wp:effectExtent l="76200" t="57150" r="66675" b="47625"/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A17322" w:rsidRDefault="00313A8A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45E7781" wp14:editId="171B6F79">
            <wp:extent cx="6162675" cy="1514475"/>
            <wp:effectExtent l="76200" t="57150" r="66675" b="47625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A17322" w:rsidRDefault="00313A8A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645E7781" wp14:editId="171B6F79">
            <wp:extent cx="6162675" cy="1590675"/>
            <wp:effectExtent l="76200" t="57150" r="66675" b="47625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C27559" w:rsidRDefault="00C27559" w:rsidP="00B84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67B" w:rsidRDefault="00821A3D" w:rsidP="00B84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B0A">
        <w:rPr>
          <w:rFonts w:ascii="Times New Roman" w:hAnsi="Times New Roman" w:cs="Times New Roman"/>
          <w:b/>
          <w:color w:val="000000"/>
          <w:sz w:val="28"/>
          <w:szCs w:val="28"/>
        </w:rPr>
        <w:t>Транспортного податку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2019 р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C2755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341F4">
        <w:rPr>
          <w:rFonts w:ascii="Times New Roman" w:hAnsi="Times New Roman" w:cs="Times New Roman"/>
          <w:color w:val="000000"/>
          <w:sz w:val="28"/>
          <w:szCs w:val="28"/>
        </w:rPr>
        <w:t xml:space="preserve">надійшло до бюджету 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>ОТГ у</w:t>
      </w:r>
      <w:r w:rsidR="00F341F4">
        <w:rPr>
          <w:rFonts w:ascii="Times New Roman" w:hAnsi="Times New Roman" w:cs="Times New Roman"/>
          <w:color w:val="000000"/>
          <w:sz w:val="28"/>
          <w:szCs w:val="28"/>
        </w:rPr>
        <w:t xml:space="preserve"> сумі 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 xml:space="preserve">             161,4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 xml:space="preserve">100,4% до уточненого плану. У порівняні з 2018 роком надходження збільшились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>46,6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2B0A">
        <w:rPr>
          <w:rFonts w:ascii="Times New Roman" w:hAnsi="Times New Roman" w:cs="Times New Roman"/>
          <w:color w:val="000000"/>
          <w:sz w:val="28"/>
          <w:szCs w:val="28"/>
        </w:rPr>
        <w:t>, або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485">
        <w:rPr>
          <w:rFonts w:ascii="Times New Roman" w:hAnsi="Times New Roman" w:cs="Times New Roman"/>
          <w:color w:val="000000"/>
          <w:sz w:val="28"/>
          <w:szCs w:val="28"/>
        </w:rPr>
        <w:t>40,6%.</w:t>
      </w:r>
    </w:p>
    <w:p w:rsidR="00B8467B" w:rsidRDefault="00B8467B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1CAA" w:rsidRPr="00841CAA" w:rsidRDefault="00841CAA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FE670E" w:rsidRPr="00FE670E" w:rsidRDefault="00FE670E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0E">
        <w:rPr>
          <w:rFonts w:ascii="Times New Roman" w:hAnsi="Times New Roman" w:cs="Times New Roman"/>
          <w:sz w:val="28"/>
          <w:szCs w:val="28"/>
        </w:rPr>
        <w:t>Виконання</w:t>
      </w:r>
      <w:r w:rsidRPr="00FE6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 w:cs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 w:cs="Times New Roman"/>
          <w:sz w:val="28"/>
          <w:szCs w:val="28"/>
        </w:rPr>
        <w:t>при уточненому плані</w:t>
      </w:r>
      <w:r w:rsidR="00473835" w:rsidRPr="0047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835" w:rsidRPr="00473835">
        <w:rPr>
          <w:rFonts w:ascii="Times New Roman" w:hAnsi="Times New Roman" w:cs="Times New Roman"/>
          <w:sz w:val="28"/>
          <w:szCs w:val="28"/>
        </w:rPr>
        <w:t>на</w:t>
      </w:r>
      <w:r w:rsidR="00473835" w:rsidRPr="00FE670E">
        <w:rPr>
          <w:rFonts w:ascii="Times New Roman" w:hAnsi="Times New Roman" w:cs="Times New Roman"/>
          <w:sz w:val="28"/>
          <w:szCs w:val="28"/>
        </w:rPr>
        <w:t xml:space="preserve"> </w:t>
      </w:r>
      <w:r w:rsidR="00473835">
        <w:rPr>
          <w:rFonts w:ascii="Times New Roman" w:hAnsi="Times New Roman" w:cs="Times New Roman"/>
          <w:sz w:val="28"/>
          <w:szCs w:val="28"/>
        </w:rPr>
        <w:t>2019 р</w:t>
      </w:r>
      <w:r w:rsidR="00501B6C">
        <w:rPr>
          <w:rFonts w:ascii="Times New Roman" w:hAnsi="Times New Roman" w:cs="Times New Roman"/>
          <w:sz w:val="28"/>
          <w:szCs w:val="28"/>
        </w:rPr>
        <w:t>і</w:t>
      </w:r>
      <w:r w:rsidR="00473835">
        <w:rPr>
          <w:rFonts w:ascii="Times New Roman" w:hAnsi="Times New Roman" w:cs="Times New Roman"/>
          <w:sz w:val="28"/>
          <w:szCs w:val="28"/>
        </w:rPr>
        <w:t>к</w:t>
      </w:r>
      <w:r w:rsidRPr="00FE670E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501B6C">
        <w:rPr>
          <w:rFonts w:ascii="Times New Roman" w:hAnsi="Times New Roman" w:cs="Times New Roman"/>
          <w:sz w:val="28"/>
          <w:szCs w:val="28"/>
        </w:rPr>
        <w:t>102,2</w:t>
      </w:r>
      <w:r w:rsidRPr="00FE670E">
        <w:rPr>
          <w:rFonts w:ascii="Times New Roman" w:hAnsi="Times New Roman" w:cs="Times New Roman"/>
          <w:sz w:val="28"/>
          <w:szCs w:val="28"/>
        </w:rPr>
        <w:t>% (</w:t>
      </w:r>
      <w:r w:rsidR="00501B6C">
        <w:rPr>
          <w:rFonts w:ascii="Times New Roman" w:hAnsi="Times New Roman" w:cs="Times New Roman"/>
          <w:sz w:val="28"/>
          <w:szCs w:val="28"/>
        </w:rPr>
        <w:t>14201,8</w:t>
      </w:r>
      <w:r w:rsidR="00EB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670E">
        <w:rPr>
          <w:rFonts w:ascii="Times New Roman" w:hAnsi="Times New Roman" w:cs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 w:rsidR="00501B6C">
        <w:rPr>
          <w:rFonts w:ascii="Times New Roman" w:hAnsi="Times New Roman" w:cs="Times New Roman"/>
          <w:sz w:val="28"/>
          <w:szCs w:val="28"/>
        </w:rPr>
        <w:t>101,3</w:t>
      </w:r>
      <w:r w:rsidRPr="00FE670E">
        <w:rPr>
          <w:rFonts w:ascii="Times New Roman" w:hAnsi="Times New Roman" w:cs="Times New Roman"/>
          <w:sz w:val="28"/>
          <w:szCs w:val="28"/>
        </w:rPr>
        <w:t>%</w:t>
      </w:r>
      <w:r w:rsidR="00501B6C">
        <w:rPr>
          <w:rFonts w:ascii="Times New Roman" w:hAnsi="Times New Roman" w:cs="Times New Roman"/>
          <w:sz w:val="28"/>
          <w:szCs w:val="28"/>
        </w:rPr>
        <w:t>.</w:t>
      </w:r>
      <w:r w:rsidRPr="00FE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70E" w:rsidRDefault="00FE670E" w:rsidP="00FE6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динаміки надходжень зі сплати єдиного податку у розрізі платежів за </w:t>
      </w:r>
      <w:r w:rsidR="006F278B">
        <w:rPr>
          <w:rFonts w:ascii="Times New Roman" w:hAnsi="Times New Roman" w:cs="Times New Roman"/>
          <w:color w:val="000000"/>
          <w:sz w:val="28"/>
          <w:szCs w:val="28"/>
        </w:rPr>
        <w:t>2019 р</w:t>
      </w:r>
      <w:r w:rsidR="00501B6C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6F278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 характ</w:t>
      </w:r>
      <w:r w:rsidR="009B1FB1">
        <w:rPr>
          <w:rFonts w:ascii="Times New Roman" w:hAnsi="Times New Roman" w:cs="Times New Roman"/>
          <w:color w:val="000000"/>
          <w:sz w:val="28"/>
          <w:szCs w:val="28"/>
        </w:rPr>
        <w:t xml:space="preserve">еризується даними, </w:t>
      </w:r>
      <w:r w:rsidR="009B1FB1" w:rsidRPr="00D3357D">
        <w:rPr>
          <w:rFonts w:ascii="Times New Roman" w:hAnsi="Times New Roman" w:cs="Times New Roman"/>
          <w:color w:val="000000"/>
          <w:sz w:val="28"/>
          <w:szCs w:val="28"/>
        </w:rPr>
        <w:t xml:space="preserve">наведеними на </w:t>
      </w:r>
      <w:r w:rsidR="00F55EC3" w:rsidRPr="00D3357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B1FB1" w:rsidRPr="00D3357D">
        <w:rPr>
          <w:rFonts w:ascii="Times New Roman" w:hAnsi="Times New Roman" w:cs="Times New Roman"/>
          <w:color w:val="000000"/>
          <w:sz w:val="28"/>
          <w:szCs w:val="28"/>
        </w:rPr>
        <w:t>ис.</w:t>
      </w:r>
      <w:r w:rsidR="00F55EC3" w:rsidRPr="00D3357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35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357D" w:rsidRDefault="00D3357D" w:rsidP="00FE6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7D2" w:rsidRPr="00305EDE" w:rsidRDefault="00D3357D" w:rsidP="00D335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305EDE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Рис.5</w:t>
      </w:r>
      <w:r w:rsidR="00AF3A08" w:rsidRPr="00305EDE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.</w:t>
      </w:r>
      <w:r w:rsidRPr="00305EDE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 Структура динаміки надходжень єдиного податку</w:t>
      </w:r>
    </w:p>
    <w:p w:rsidR="00D3357D" w:rsidRPr="00D3357D" w:rsidRDefault="00D3357D" w:rsidP="00D335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FE670E" w:rsidRDefault="00D277D2" w:rsidP="00D3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AE80EB0" wp14:editId="33886881">
            <wp:extent cx="6315075" cy="3657600"/>
            <wp:effectExtent l="38100" t="0" r="47625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FE670E" w:rsidRDefault="00EE6A38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745">
        <w:rPr>
          <w:rFonts w:ascii="Times New Roman" w:hAnsi="Times New Roman"/>
          <w:sz w:val="28"/>
          <w:szCs w:val="28"/>
        </w:rPr>
        <w:lastRenderedPageBreak/>
        <w:t xml:space="preserve">Надходження </w:t>
      </w:r>
      <w:r w:rsidR="006E65F4">
        <w:rPr>
          <w:rFonts w:ascii="Times New Roman" w:hAnsi="Times New Roman"/>
          <w:sz w:val="28"/>
          <w:szCs w:val="28"/>
        </w:rPr>
        <w:t xml:space="preserve">по єдиному податку з сільськогосподарських товаровиробників, у яких частка сільськогосподарського </w:t>
      </w:r>
      <w:proofErr w:type="spellStart"/>
      <w:r w:rsidR="006E65F4">
        <w:rPr>
          <w:rFonts w:ascii="Times New Roman" w:hAnsi="Times New Roman"/>
          <w:sz w:val="28"/>
          <w:szCs w:val="28"/>
        </w:rPr>
        <w:t>товаровиробництва</w:t>
      </w:r>
      <w:proofErr w:type="spellEnd"/>
      <w:r w:rsidR="006E65F4">
        <w:rPr>
          <w:rFonts w:ascii="Times New Roman" w:hAnsi="Times New Roman"/>
          <w:sz w:val="28"/>
          <w:szCs w:val="28"/>
        </w:rPr>
        <w:t xml:space="preserve"> за попередній податковий (звітний) рік дорівнює або перевищує 75 відсотків </w:t>
      </w:r>
      <w:r w:rsidRPr="00273745">
        <w:rPr>
          <w:rFonts w:ascii="Times New Roman" w:hAnsi="Times New Roman"/>
          <w:sz w:val="28"/>
          <w:szCs w:val="28"/>
        </w:rPr>
        <w:t>зменшились в зв'язку з</w:t>
      </w:r>
      <w:r w:rsidR="006E65F4">
        <w:rPr>
          <w:rFonts w:ascii="Times New Roman" w:hAnsi="Times New Roman"/>
          <w:sz w:val="28"/>
          <w:szCs w:val="28"/>
        </w:rPr>
        <w:t>і сплатою</w:t>
      </w:r>
      <w:r w:rsidRPr="00273745">
        <w:rPr>
          <w:rFonts w:ascii="Times New Roman" w:hAnsi="Times New Roman"/>
          <w:sz w:val="28"/>
          <w:szCs w:val="28"/>
        </w:rPr>
        <w:t xml:space="preserve"> авансови</w:t>
      </w:r>
      <w:r w:rsidR="006E65F4">
        <w:rPr>
          <w:rFonts w:ascii="Times New Roman" w:hAnsi="Times New Roman"/>
          <w:sz w:val="28"/>
          <w:szCs w:val="28"/>
        </w:rPr>
        <w:t>х</w:t>
      </w:r>
      <w:r w:rsidRPr="00273745">
        <w:rPr>
          <w:rFonts w:ascii="Times New Roman" w:hAnsi="Times New Roman"/>
          <w:sz w:val="28"/>
          <w:szCs w:val="28"/>
        </w:rPr>
        <w:t xml:space="preserve"> платеж</w:t>
      </w:r>
      <w:r w:rsidR="006E65F4">
        <w:rPr>
          <w:rFonts w:ascii="Times New Roman" w:hAnsi="Times New Roman"/>
          <w:sz w:val="28"/>
          <w:szCs w:val="28"/>
        </w:rPr>
        <w:t>ів</w:t>
      </w:r>
      <w:r w:rsidRPr="00273745">
        <w:rPr>
          <w:rFonts w:ascii="Times New Roman" w:hAnsi="Times New Roman"/>
          <w:sz w:val="28"/>
          <w:szCs w:val="28"/>
        </w:rPr>
        <w:t xml:space="preserve"> в грудні 2018 року </w:t>
      </w:r>
      <w:r w:rsidR="006E65F4">
        <w:rPr>
          <w:rFonts w:ascii="Times New Roman" w:hAnsi="Times New Roman"/>
          <w:sz w:val="28"/>
          <w:szCs w:val="28"/>
        </w:rPr>
        <w:t xml:space="preserve">наступними платниками: </w:t>
      </w:r>
      <w:r w:rsidRPr="00273745">
        <w:rPr>
          <w:rFonts w:ascii="Times New Roman" w:hAnsi="Times New Roman"/>
          <w:sz w:val="28"/>
          <w:szCs w:val="28"/>
        </w:rPr>
        <w:t>СТОВ "Росія"</w:t>
      </w:r>
      <w:r w:rsidR="00273745" w:rsidRPr="00273745">
        <w:rPr>
          <w:rFonts w:ascii="Times New Roman" w:hAnsi="Times New Roman"/>
          <w:sz w:val="28"/>
          <w:szCs w:val="28"/>
        </w:rPr>
        <w:t xml:space="preserve"> – 670,0 </w:t>
      </w:r>
      <w:proofErr w:type="spellStart"/>
      <w:r w:rsidR="00273745" w:rsidRPr="00273745">
        <w:rPr>
          <w:rFonts w:ascii="Times New Roman" w:hAnsi="Times New Roman"/>
          <w:sz w:val="28"/>
          <w:szCs w:val="28"/>
        </w:rPr>
        <w:t>тис.грн</w:t>
      </w:r>
      <w:proofErr w:type="spellEnd"/>
      <w:r w:rsidR="00273745" w:rsidRPr="00273745">
        <w:rPr>
          <w:rFonts w:ascii="Times New Roman" w:hAnsi="Times New Roman"/>
          <w:sz w:val="28"/>
          <w:szCs w:val="28"/>
        </w:rPr>
        <w:t>.</w:t>
      </w:r>
      <w:r w:rsidRPr="00273745">
        <w:rPr>
          <w:rFonts w:ascii="Times New Roman" w:hAnsi="Times New Roman"/>
          <w:sz w:val="28"/>
          <w:szCs w:val="28"/>
        </w:rPr>
        <w:t xml:space="preserve">, </w:t>
      </w:r>
      <w:r w:rsidR="00273745" w:rsidRPr="00273745">
        <w:rPr>
          <w:rFonts w:ascii="Times New Roman" w:hAnsi="Times New Roman"/>
          <w:sz w:val="28"/>
          <w:szCs w:val="28"/>
        </w:rPr>
        <w:t xml:space="preserve">СТОВ"Степ-Агро" – 309,0 </w:t>
      </w:r>
      <w:proofErr w:type="spellStart"/>
      <w:r w:rsidR="00273745" w:rsidRPr="00273745">
        <w:rPr>
          <w:rFonts w:ascii="Times New Roman" w:hAnsi="Times New Roman"/>
          <w:sz w:val="28"/>
          <w:szCs w:val="28"/>
        </w:rPr>
        <w:t>тис.грн</w:t>
      </w:r>
      <w:proofErr w:type="spellEnd"/>
      <w:r w:rsidR="00273745" w:rsidRPr="00273745">
        <w:rPr>
          <w:rFonts w:ascii="Times New Roman" w:hAnsi="Times New Roman"/>
          <w:sz w:val="28"/>
          <w:szCs w:val="28"/>
        </w:rPr>
        <w:t>..</w:t>
      </w:r>
    </w:p>
    <w:p w:rsidR="00273745" w:rsidRDefault="00273745" w:rsidP="00E7196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</w:p>
    <w:p w:rsidR="0070451E" w:rsidRDefault="00E71965" w:rsidP="00E7196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D64A2">
        <w:rPr>
          <w:rFonts w:ascii="TimesNewRomanPSMT" w:hAnsi="TimesNewRomanPSMT"/>
          <w:sz w:val="28"/>
          <w:szCs w:val="28"/>
        </w:rPr>
        <w:t xml:space="preserve">Акцизного податку з </w:t>
      </w:r>
      <w:r w:rsidRPr="000D64A2">
        <w:rPr>
          <w:rFonts w:ascii="TimesNewRomanPSMT" w:hAnsi="TimesNewRomanPSMT"/>
          <w:b/>
          <w:sz w:val="28"/>
          <w:szCs w:val="28"/>
        </w:rPr>
        <w:t>пального</w:t>
      </w:r>
      <w:r w:rsidRPr="000D64A2">
        <w:rPr>
          <w:rFonts w:ascii="TimesNewRomanPSMT" w:hAnsi="TimesNewRomanPSMT"/>
          <w:sz w:val="28"/>
          <w:szCs w:val="28"/>
        </w:rPr>
        <w:t xml:space="preserve"> (виробленого в Україні)</w:t>
      </w:r>
      <w:r w:rsidR="00121F72" w:rsidRPr="000D64A2">
        <w:rPr>
          <w:rFonts w:ascii="TimesNewRomanPSMT" w:hAnsi="TimesNewRomanPSMT"/>
          <w:sz w:val="28"/>
          <w:szCs w:val="28"/>
        </w:rPr>
        <w:t xml:space="preserve"> та а</w:t>
      </w:r>
      <w:r w:rsidRPr="000D64A2">
        <w:rPr>
          <w:rFonts w:ascii="TimesNewRomanPSMT" w:hAnsi="TimesNewRomanPSMT"/>
          <w:sz w:val="28"/>
          <w:szCs w:val="28"/>
        </w:rPr>
        <w:t xml:space="preserve">кцизного податку з </w:t>
      </w:r>
      <w:r w:rsidRPr="000D64A2">
        <w:rPr>
          <w:rFonts w:ascii="TimesNewRomanPSMT" w:hAnsi="TimesNewRomanPSMT"/>
          <w:b/>
          <w:sz w:val="28"/>
          <w:szCs w:val="28"/>
        </w:rPr>
        <w:t>пального</w:t>
      </w:r>
      <w:r w:rsidRPr="000D64A2">
        <w:rPr>
          <w:rFonts w:ascii="TimesNewRomanPSMT" w:hAnsi="TimesNewRomanPSMT"/>
          <w:sz w:val="28"/>
          <w:szCs w:val="28"/>
        </w:rPr>
        <w:t xml:space="preserve"> (ввезеного на митну територію Україні)</w:t>
      </w:r>
      <w:r w:rsidR="00AE028C">
        <w:rPr>
          <w:rFonts w:ascii="TimesNewRomanPSMT" w:hAnsi="TimesNewRomanPSMT"/>
          <w:sz w:val="28"/>
          <w:szCs w:val="28"/>
        </w:rPr>
        <w:t xml:space="preserve"> до бюджету громади за </w:t>
      </w:r>
      <w:r w:rsidR="00121F72" w:rsidRPr="000D64A2">
        <w:rPr>
          <w:rFonts w:ascii="TimesNewRomanPSMT" w:hAnsi="TimesNewRomanPSMT"/>
          <w:sz w:val="28"/>
          <w:szCs w:val="28"/>
        </w:rPr>
        <w:t>2019 р</w:t>
      </w:r>
      <w:r w:rsidR="007F33C9">
        <w:rPr>
          <w:rFonts w:ascii="TimesNewRomanPSMT" w:hAnsi="TimesNewRomanPSMT"/>
          <w:sz w:val="28"/>
          <w:szCs w:val="28"/>
        </w:rPr>
        <w:t>і</w:t>
      </w:r>
      <w:r w:rsidR="00121F72" w:rsidRPr="000D64A2">
        <w:rPr>
          <w:rFonts w:ascii="TimesNewRomanPSMT" w:hAnsi="TimesNewRomanPSMT"/>
          <w:sz w:val="28"/>
          <w:szCs w:val="28"/>
        </w:rPr>
        <w:t xml:space="preserve">к </w:t>
      </w:r>
      <w:r w:rsidR="00AE028C">
        <w:rPr>
          <w:rFonts w:ascii="TimesNewRomanPSMT" w:hAnsi="TimesNewRomanPSMT"/>
          <w:sz w:val="28"/>
          <w:szCs w:val="28"/>
        </w:rPr>
        <w:t xml:space="preserve">надійшло </w:t>
      </w:r>
      <w:r w:rsidR="007F33C9">
        <w:rPr>
          <w:rFonts w:ascii="TimesNewRomanPSMT" w:hAnsi="TimesNewRomanPSMT"/>
          <w:sz w:val="28"/>
          <w:szCs w:val="28"/>
        </w:rPr>
        <w:t>у</w:t>
      </w:r>
      <w:r w:rsidR="001A5EAA">
        <w:rPr>
          <w:rFonts w:ascii="TimesNewRomanPSMT" w:hAnsi="TimesNewRomanPSMT"/>
          <w:sz w:val="28"/>
          <w:szCs w:val="28"/>
        </w:rPr>
        <w:t xml:space="preserve"> сумі </w:t>
      </w:r>
      <w:r w:rsidR="007F33C9">
        <w:rPr>
          <w:rFonts w:ascii="TimesNewRomanPSMT" w:hAnsi="TimesNewRomanPSMT"/>
          <w:sz w:val="28"/>
          <w:szCs w:val="28"/>
        </w:rPr>
        <w:t>4123,4</w:t>
      </w:r>
      <w:r w:rsidR="001A5EAA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="001A5EAA">
        <w:rPr>
          <w:rFonts w:ascii="TimesNewRomanPSMT" w:hAnsi="TimesNewRomanPSMT"/>
          <w:sz w:val="28"/>
          <w:szCs w:val="28"/>
        </w:rPr>
        <w:t>тис.грн</w:t>
      </w:r>
      <w:proofErr w:type="spellEnd"/>
      <w:r w:rsidR="001A5EAA">
        <w:rPr>
          <w:rFonts w:ascii="TimesNewRomanPSMT" w:hAnsi="TimesNewRomanPSMT"/>
          <w:sz w:val="28"/>
          <w:szCs w:val="28"/>
        </w:rPr>
        <w:t xml:space="preserve">., що на </w:t>
      </w:r>
      <w:r w:rsidR="007F33C9">
        <w:rPr>
          <w:rFonts w:ascii="TimesNewRomanPSMT" w:hAnsi="TimesNewRomanPSMT"/>
          <w:sz w:val="28"/>
          <w:szCs w:val="28"/>
        </w:rPr>
        <w:t>136,1</w:t>
      </w:r>
      <w:r w:rsidR="001A5EAA">
        <w:rPr>
          <w:rFonts w:ascii="TimesNewRomanPSMT" w:hAnsi="TimesNewRomanPSMT"/>
          <w:sz w:val="28"/>
          <w:szCs w:val="28"/>
        </w:rPr>
        <w:t xml:space="preserve"> тис. грн.  </w:t>
      </w:r>
      <w:r w:rsidR="007F33C9">
        <w:rPr>
          <w:rFonts w:ascii="TimesNewRomanPSMT" w:hAnsi="TimesNewRomanPSMT"/>
          <w:sz w:val="28"/>
          <w:szCs w:val="28"/>
        </w:rPr>
        <w:t>більше</w:t>
      </w:r>
      <w:r w:rsidR="00E54824">
        <w:rPr>
          <w:rFonts w:ascii="TimesNewRomanPSMT" w:hAnsi="TimesNewRomanPSMT"/>
          <w:sz w:val="28"/>
          <w:szCs w:val="28"/>
        </w:rPr>
        <w:t xml:space="preserve"> від плану</w:t>
      </w:r>
      <w:r w:rsidR="001A5EAA">
        <w:rPr>
          <w:rFonts w:ascii="TimesNewRomanPSMT" w:hAnsi="TimesNewRomanPSMT"/>
          <w:sz w:val="28"/>
          <w:szCs w:val="28"/>
        </w:rPr>
        <w:t xml:space="preserve"> (виконання </w:t>
      </w:r>
      <w:r w:rsidR="000227CC">
        <w:rPr>
          <w:rFonts w:ascii="TimesNewRomanPSMT" w:hAnsi="TimesNewRomanPSMT"/>
          <w:sz w:val="28"/>
          <w:szCs w:val="28"/>
        </w:rPr>
        <w:t>103,4</w:t>
      </w:r>
      <w:r w:rsidR="001A5EAA">
        <w:rPr>
          <w:rFonts w:ascii="TimesNewRomanPSMT" w:hAnsi="TimesNewRomanPSMT"/>
          <w:sz w:val="28"/>
          <w:szCs w:val="28"/>
        </w:rPr>
        <w:t>%), та</w:t>
      </w:r>
      <w:r w:rsidR="00121F72" w:rsidRPr="000D64A2">
        <w:rPr>
          <w:rFonts w:ascii="TimesNewRomanPSMT" w:hAnsi="TimesNewRomanPSMT"/>
          <w:sz w:val="28"/>
          <w:szCs w:val="28"/>
        </w:rPr>
        <w:t xml:space="preserve"> </w:t>
      </w:r>
      <w:r w:rsidR="001A5EAA">
        <w:rPr>
          <w:rFonts w:ascii="TimesNewRomanPSMT" w:hAnsi="TimesNewRomanPSMT"/>
          <w:sz w:val="28"/>
          <w:szCs w:val="28"/>
        </w:rPr>
        <w:t xml:space="preserve">на </w:t>
      </w:r>
      <w:r w:rsidR="000227CC">
        <w:rPr>
          <w:rFonts w:ascii="TimesNewRomanPSMT" w:hAnsi="TimesNewRomanPSMT"/>
          <w:sz w:val="28"/>
          <w:szCs w:val="28"/>
        </w:rPr>
        <w:t>421,1</w:t>
      </w:r>
      <w:r w:rsidR="00E54824">
        <w:rPr>
          <w:rFonts w:ascii="TimesNewRomanPSMT" w:hAnsi="TimesNewRomanPSMT"/>
          <w:sz w:val="28"/>
          <w:szCs w:val="28"/>
        </w:rPr>
        <w:t xml:space="preserve"> </w:t>
      </w:r>
      <w:proofErr w:type="spellStart"/>
      <w:r w:rsidR="001A5EAA">
        <w:rPr>
          <w:rFonts w:ascii="TimesNewRomanPSMT" w:hAnsi="TimesNewRomanPSMT"/>
          <w:sz w:val="28"/>
          <w:szCs w:val="28"/>
        </w:rPr>
        <w:t>тис.грн</w:t>
      </w:r>
      <w:proofErr w:type="spellEnd"/>
      <w:r w:rsidR="001A5EAA">
        <w:rPr>
          <w:rFonts w:ascii="TimesNewRomanPSMT" w:hAnsi="TimesNewRomanPSMT"/>
          <w:sz w:val="28"/>
          <w:szCs w:val="28"/>
        </w:rPr>
        <w:t xml:space="preserve">. </w:t>
      </w:r>
      <w:r w:rsidR="00E54824">
        <w:rPr>
          <w:rFonts w:ascii="TimesNewRomanPSMT" w:hAnsi="TimesNewRomanPSMT"/>
          <w:sz w:val="28"/>
          <w:szCs w:val="28"/>
        </w:rPr>
        <w:t>менше</w:t>
      </w:r>
      <w:r w:rsidR="001A5EAA">
        <w:rPr>
          <w:rFonts w:ascii="TimesNewRomanPSMT" w:hAnsi="TimesNewRomanPSMT"/>
          <w:sz w:val="28"/>
          <w:szCs w:val="28"/>
        </w:rPr>
        <w:t xml:space="preserve"> ніж за відповідний період 2018 року</w:t>
      </w:r>
      <w:r w:rsidR="00FF638B" w:rsidRPr="000D64A2">
        <w:rPr>
          <w:rFonts w:ascii="TimesNewRomanPSMT" w:hAnsi="TimesNewRomanPSMT"/>
          <w:sz w:val="28"/>
          <w:szCs w:val="28"/>
        </w:rPr>
        <w:t>.</w:t>
      </w:r>
    </w:p>
    <w:p w:rsidR="00E71965" w:rsidRDefault="00E71965" w:rsidP="00E7196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71965">
        <w:rPr>
          <w:rFonts w:ascii="TimesNewRomanPSMT" w:hAnsi="TimesNewRomanPSMT"/>
          <w:color w:val="000000"/>
          <w:sz w:val="28"/>
          <w:szCs w:val="28"/>
        </w:rPr>
        <w:t xml:space="preserve">Акцизного податку з реалізації суб'єктами господарювання </w:t>
      </w:r>
      <w:r w:rsidRPr="00E71965">
        <w:rPr>
          <w:rFonts w:ascii="TimesNewRomanPSMT" w:hAnsi="TimesNewRomanPSMT"/>
          <w:b/>
          <w:color w:val="000000"/>
          <w:sz w:val="28"/>
          <w:szCs w:val="28"/>
        </w:rPr>
        <w:t>роздрібної торгівлі підакцизних товарів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отримано </w:t>
      </w:r>
      <w:r w:rsidR="00337D17">
        <w:rPr>
          <w:rFonts w:ascii="TimesNewRomanPSMT" w:hAnsi="TimesNewRomanPSMT"/>
          <w:color w:val="000000"/>
          <w:sz w:val="28"/>
          <w:szCs w:val="28"/>
        </w:rPr>
        <w:t>2287,0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тис. грн. (</w:t>
      </w:r>
      <w:r w:rsidR="00337D17">
        <w:rPr>
          <w:rFonts w:ascii="TimesNewRomanPSMT" w:hAnsi="TimesNewRomanPSMT"/>
          <w:color w:val="000000"/>
          <w:sz w:val="28"/>
          <w:szCs w:val="28"/>
        </w:rPr>
        <w:t>107,9</w:t>
      </w:r>
      <w:r>
        <w:rPr>
          <w:rFonts w:ascii="TimesNewRomanPSMT" w:hAnsi="TimesNewRomanPSMT"/>
          <w:color w:val="000000"/>
          <w:sz w:val="28"/>
          <w:szCs w:val="28"/>
        </w:rPr>
        <w:t>%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до планового завдання на звітний період, </w:t>
      </w:r>
      <w:r w:rsidR="00121F72">
        <w:rPr>
          <w:rFonts w:ascii="TimesNewRomanPSMT" w:hAnsi="TimesNewRomanPSMT"/>
          <w:color w:val="000000"/>
          <w:sz w:val="28"/>
          <w:szCs w:val="28"/>
        </w:rPr>
        <w:t xml:space="preserve"> та більше ніж за відповідний період минулого року</w:t>
      </w:r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r w:rsidR="00337D17">
        <w:rPr>
          <w:rFonts w:ascii="TimesNewRomanPSMT" w:hAnsi="TimesNewRomanPSMT"/>
          <w:color w:val="000000"/>
          <w:sz w:val="28"/>
          <w:szCs w:val="28"/>
        </w:rPr>
        <w:t>9,7</w:t>
      </w:r>
      <w:r>
        <w:rPr>
          <w:rFonts w:ascii="TimesNewRomanPSMT" w:hAnsi="TimesNewRomanPSMT"/>
          <w:color w:val="000000"/>
          <w:sz w:val="28"/>
          <w:szCs w:val="28"/>
        </w:rPr>
        <w:t xml:space="preserve">%, або на </w:t>
      </w:r>
      <w:r w:rsidR="00337D17">
        <w:rPr>
          <w:rFonts w:ascii="TimesNewRomanPSMT" w:hAnsi="TimesNewRomanPSMT"/>
          <w:color w:val="000000"/>
          <w:sz w:val="28"/>
          <w:szCs w:val="28"/>
        </w:rPr>
        <w:t>202,0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). </w:t>
      </w:r>
    </w:p>
    <w:p w:rsidR="00E71965" w:rsidRPr="00E71965" w:rsidRDefault="00E71965" w:rsidP="00351367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33741" w:rsidRDefault="00E93348" w:rsidP="00EE6A3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93348">
        <w:rPr>
          <w:rFonts w:ascii="TimesNewRomanPSMT" w:hAnsi="TimesNewRomanPSMT"/>
          <w:b/>
          <w:color w:val="000000"/>
          <w:sz w:val="28"/>
          <w:szCs w:val="28"/>
        </w:rPr>
        <w:t>Податку на прибуток</w:t>
      </w:r>
      <w:r w:rsidRPr="00E93348">
        <w:rPr>
          <w:rFonts w:ascii="TimesNewRomanPSMT" w:hAnsi="TimesNewRomanPSMT"/>
          <w:color w:val="000000"/>
          <w:sz w:val="28"/>
          <w:szCs w:val="28"/>
        </w:rPr>
        <w:t xml:space="preserve"> комунальних підприємств до бюджету</w:t>
      </w:r>
      <w:r w:rsidR="00EE6A38">
        <w:rPr>
          <w:rFonts w:ascii="TimesNewRomanPSMT" w:hAnsi="TimesNewRomanPSMT"/>
          <w:color w:val="000000"/>
          <w:sz w:val="28"/>
          <w:szCs w:val="28"/>
        </w:rPr>
        <w:t xml:space="preserve"> ОТГ</w:t>
      </w:r>
      <w:r w:rsidRPr="00E93348">
        <w:rPr>
          <w:rFonts w:ascii="TimesNewRomanPSMT" w:hAnsi="TimesNewRomanPSMT"/>
          <w:color w:val="000000"/>
          <w:sz w:val="28"/>
          <w:szCs w:val="28"/>
        </w:rPr>
        <w:t xml:space="preserve"> надійшло </w:t>
      </w:r>
      <w:r w:rsidR="006C46B3">
        <w:rPr>
          <w:rFonts w:ascii="TimesNewRomanPSMT" w:hAnsi="TimesNewRomanPSMT"/>
          <w:color w:val="000000"/>
          <w:sz w:val="28"/>
          <w:szCs w:val="28"/>
        </w:rPr>
        <w:t>68,</w:t>
      </w:r>
      <w:r w:rsidR="00BF5158">
        <w:rPr>
          <w:rFonts w:ascii="TimesNewRomanPSMT" w:hAnsi="TimesNewRomanPSMT"/>
          <w:color w:val="000000"/>
          <w:sz w:val="28"/>
          <w:szCs w:val="28"/>
        </w:rPr>
        <w:t>2</w:t>
      </w:r>
      <w:r w:rsidR="006C46B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6C46B3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6C46B3">
        <w:rPr>
          <w:rFonts w:ascii="TimesNewRomanPSMT" w:hAnsi="TimesNewRomanPSMT"/>
          <w:color w:val="000000"/>
          <w:sz w:val="28"/>
          <w:szCs w:val="28"/>
        </w:rPr>
        <w:t>.</w:t>
      </w:r>
    </w:p>
    <w:p w:rsidR="001279AA" w:rsidRDefault="001279AA" w:rsidP="00EE6A3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279AA">
        <w:rPr>
          <w:rFonts w:ascii="TimesNewRomanPSMT" w:hAnsi="TimesNewRomanPSMT"/>
          <w:b/>
          <w:color w:val="000000"/>
          <w:sz w:val="28"/>
          <w:szCs w:val="28"/>
        </w:rPr>
        <w:t>Рентної плати</w:t>
      </w:r>
      <w:r>
        <w:rPr>
          <w:rFonts w:ascii="TimesNewRomanPSMT" w:hAnsi="TimesNewRomanPSMT"/>
          <w:color w:val="000000"/>
          <w:sz w:val="28"/>
          <w:szCs w:val="28"/>
        </w:rPr>
        <w:t>, а саме</w:t>
      </w:r>
      <w:r w:rsidR="00C66A00">
        <w:rPr>
          <w:rFonts w:ascii="TimesNewRomanPSMT" w:hAnsi="TimesNewRomanPSMT"/>
          <w:color w:val="000000"/>
          <w:sz w:val="28"/>
          <w:szCs w:val="28"/>
        </w:rPr>
        <w:t xml:space="preserve">, за користування надрами,  за </w:t>
      </w:r>
      <w:r w:rsidR="0047567F">
        <w:rPr>
          <w:rFonts w:ascii="TimesNewRomanPSMT" w:hAnsi="TimesNewRomanPSMT"/>
          <w:color w:val="000000"/>
          <w:sz w:val="28"/>
          <w:szCs w:val="28"/>
        </w:rPr>
        <w:t>2019 рі</w:t>
      </w:r>
      <w:r w:rsidR="00C66A00">
        <w:rPr>
          <w:rFonts w:ascii="TimesNewRomanPSMT" w:hAnsi="TimesNewRomanPSMT"/>
          <w:color w:val="000000"/>
          <w:sz w:val="28"/>
          <w:szCs w:val="28"/>
        </w:rPr>
        <w:t xml:space="preserve">к надійшло в сумі </w:t>
      </w:r>
      <w:r w:rsidR="0047567F">
        <w:rPr>
          <w:rFonts w:ascii="TimesNewRomanPSMT" w:hAnsi="TimesNewRomanPSMT"/>
          <w:color w:val="000000"/>
          <w:sz w:val="28"/>
          <w:szCs w:val="28"/>
        </w:rPr>
        <w:t>127,2</w:t>
      </w:r>
      <w:r w:rsidR="00C66A0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C66A00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C66A00">
        <w:rPr>
          <w:rFonts w:ascii="TimesNewRomanPSMT" w:hAnsi="TimesNewRomanPSMT"/>
          <w:color w:val="000000"/>
          <w:sz w:val="28"/>
          <w:szCs w:val="28"/>
        </w:rPr>
        <w:t>.</w:t>
      </w:r>
      <w:r w:rsidR="0047567F">
        <w:rPr>
          <w:rFonts w:ascii="TimesNewRomanPSMT" w:hAnsi="TimesNewRomanPSMT"/>
          <w:color w:val="000000"/>
          <w:sz w:val="28"/>
          <w:szCs w:val="28"/>
        </w:rPr>
        <w:t xml:space="preserve">, що складає 100,2% </w:t>
      </w:r>
      <w:r w:rsidR="00C66A0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7567F">
        <w:rPr>
          <w:rFonts w:ascii="TimesNewRomanPSMT" w:hAnsi="TimesNewRomanPSMT"/>
          <w:color w:val="000000"/>
          <w:sz w:val="28"/>
          <w:szCs w:val="28"/>
        </w:rPr>
        <w:t>до плану з урахуванням змін.</w:t>
      </w:r>
    </w:p>
    <w:p w:rsidR="00EE6A38" w:rsidRDefault="00EE6A38" w:rsidP="00EE6A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B74C1" w:rsidRPr="009D14B3" w:rsidRDefault="006B74C1" w:rsidP="006B7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5C08">
        <w:rPr>
          <w:rFonts w:ascii="Times New Roman" w:hAnsi="Times New Roman" w:cs="Times New Roman"/>
          <w:b/>
          <w:bCs/>
          <w:sz w:val="28"/>
          <w:szCs w:val="28"/>
          <w:u w:val="single"/>
        </w:rPr>
        <w:t>Неподаткові надходження</w:t>
      </w:r>
    </w:p>
    <w:p w:rsidR="006B74C1" w:rsidRPr="006B74C1" w:rsidRDefault="006B74C1" w:rsidP="006B7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51367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Планові показники неподаткових платежів на </w:t>
      </w:r>
      <w:r w:rsidR="001A1556" w:rsidRPr="00C501E5">
        <w:rPr>
          <w:rFonts w:ascii="Times New Roman" w:hAnsi="Times New Roman" w:cs="Times New Roman"/>
          <w:color w:val="000000"/>
          <w:sz w:val="28"/>
          <w:szCs w:val="28"/>
        </w:rPr>
        <w:t>2019 р</w:t>
      </w:r>
      <w:r w:rsidR="0094723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A1556" w:rsidRPr="00C501E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становлять</w:t>
      </w:r>
      <w:r w:rsidR="001A1556"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1B20BD">
        <w:rPr>
          <w:rFonts w:ascii="Times New Roman" w:hAnsi="Times New Roman" w:cs="Times New Roman"/>
          <w:b/>
          <w:color w:val="000000"/>
          <w:sz w:val="28"/>
          <w:szCs w:val="28"/>
        </w:rPr>
        <w:t>1256,1</w:t>
      </w:r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.,  фактичні надходження склали </w:t>
      </w:r>
      <w:r w:rsidR="00570D61"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0BD">
        <w:rPr>
          <w:rFonts w:ascii="Times New Roman" w:hAnsi="Times New Roman" w:cs="Times New Roman"/>
          <w:b/>
          <w:color w:val="000000"/>
          <w:sz w:val="28"/>
          <w:szCs w:val="28"/>
        </w:rPr>
        <w:t>1302,5</w:t>
      </w:r>
      <w:r w:rsidRPr="00C50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103,7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уточненого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плану. Основні надходження забезпечили:</w:t>
      </w:r>
    </w:p>
    <w:p w:rsidR="006B74C1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інш</w:t>
      </w:r>
      <w:r w:rsidR="00A45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 надходження (</w:t>
      </w:r>
      <w:r w:rsidR="00A45008" w:rsidRPr="00A45008">
        <w:rPr>
          <w:rFonts w:ascii="Times New Roman" w:hAnsi="Times New Roman" w:cs="Times New Roman"/>
          <w:bCs/>
          <w:color w:val="000000"/>
          <w:sz w:val="28"/>
          <w:szCs w:val="28"/>
        </w:rPr>
        <w:t>адміністративні штрафи</w:t>
      </w:r>
      <w:r w:rsidR="00A45008">
        <w:rPr>
          <w:rFonts w:ascii="Times New Roman" w:hAnsi="Times New Roman" w:cs="Times New Roman"/>
          <w:bCs/>
          <w:color w:val="000000"/>
          <w:sz w:val="28"/>
          <w:szCs w:val="28"/>
        </w:rPr>
        <w:t>, с</w:t>
      </w:r>
      <w:r w:rsidR="00A45008" w:rsidRPr="00A45008">
        <w:rPr>
          <w:rFonts w:ascii="Times New Roman" w:hAnsi="Times New Roman" w:cs="Times New Roman"/>
          <w:bCs/>
          <w:color w:val="000000"/>
          <w:sz w:val="28"/>
          <w:szCs w:val="28"/>
        </w:rPr>
        <w:t>анкції</w:t>
      </w:r>
      <w:r w:rsidR="00A45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="00570D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становлять            </w:t>
      </w:r>
      <w:r w:rsidR="001B2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230,5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0D6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570D61">
        <w:rPr>
          <w:rFonts w:ascii="Times New Roman" w:hAnsi="Times New Roman" w:cs="Times New Roman"/>
          <w:color w:val="000000"/>
          <w:sz w:val="28"/>
          <w:szCs w:val="28"/>
        </w:rPr>
        <w:t xml:space="preserve">., що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B20BD">
        <w:rPr>
          <w:rFonts w:ascii="Times New Roman" w:hAnsi="Times New Roman" w:cs="Times New Roman"/>
          <w:b/>
          <w:color w:val="000000"/>
          <w:sz w:val="28"/>
          <w:szCs w:val="28"/>
        </w:rPr>
        <w:t>0,7%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більше від </w:t>
      </w:r>
      <w:r w:rsidR="00570D61">
        <w:rPr>
          <w:rFonts w:ascii="Times New Roman" w:hAnsi="Times New Roman" w:cs="Times New Roman"/>
          <w:color w:val="000000"/>
          <w:sz w:val="28"/>
          <w:szCs w:val="28"/>
        </w:rPr>
        <w:t>плану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юридичних осіб, фізичних осіб – підприємців та громадських формувань –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45,4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., що становить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105,6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28D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до планового завдання (на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6,7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від минулого року);</w:t>
      </w:r>
    </w:p>
    <w:p w:rsidR="00527369" w:rsidRPr="00527369" w:rsidRDefault="00527369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27369">
        <w:rPr>
          <w:rFonts w:ascii="Times New Roman" w:hAnsi="Times New Roman" w:cs="Times New Roman"/>
          <w:b/>
          <w:color w:val="000000"/>
          <w:sz w:val="28"/>
          <w:szCs w:val="28"/>
        </w:rPr>
        <w:t>плата за надання інших адміністративних послуг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27369">
        <w:rPr>
          <w:rFonts w:ascii="Times New Roman" w:hAnsi="Times New Roman" w:cs="Times New Roman"/>
          <w:color w:val="000000"/>
          <w:sz w:val="28"/>
          <w:szCs w:val="28"/>
        </w:rPr>
        <w:t xml:space="preserve">при плані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603,4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="001A1556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. надходження складають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624,2</w:t>
      </w:r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155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103,4</w:t>
      </w:r>
      <w:r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B74C1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на нерухоме майно та їх обтяжень –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243,1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тис. грн., що </w:t>
      </w:r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становить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101,7</w:t>
      </w:r>
      <w:r w:rsidR="008F3210">
        <w:rPr>
          <w:rFonts w:ascii="Times New Roman" w:hAnsi="Times New Roman" w:cs="Times New Roman"/>
          <w:color w:val="000000"/>
          <w:sz w:val="28"/>
          <w:szCs w:val="28"/>
        </w:rPr>
        <w:t>%,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у порівнянні з відповідним періодом минулого року надходження </w:t>
      </w:r>
      <w:r w:rsidR="008F3210">
        <w:rPr>
          <w:rFonts w:ascii="Times New Roman" w:hAnsi="Times New Roman" w:cs="Times New Roman"/>
          <w:color w:val="000000"/>
          <w:sz w:val="28"/>
          <w:szCs w:val="28"/>
        </w:rPr>
        <w:t>зменшились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1B20BD">
        <w:rPr>
          <w:rFonts w:ascii="Times New Roman" w:hAnsi="Times New Roman" w:cs="Times New Roman"/>
          <w:b/>
          <w:color w:val="000000"/>
          <w:sz w:val="28"/>
          <w:szCs w:val="28"/>
        </w:rPr>
        <w:t>4,1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10FC">
        <w:rPr>
          <w:rFonts w:ascii="Times New Roman" w:hAnsi="Times New Roman" w:cs="Times New Roman"/>
          <w:color w:val="000000"/>
          <w:sz w:val="28"/>
          <w:szCs w:val="28"/>
        </w:rPr>
        <w:t xml:space="preserve">, або на </w:t>
      </w:r>
      <w:r w:rsidR="001B20BD">
        <w:rPr>
          <w:rFonts w:ascii="Times New Roman" w:hAnsi="Times New Roman" w:cs="Times New Roman"/>
          <w:b/>
          <w:color w:val="000000"/>
          <w:sz w:val="28"/>
          <w:szCs w:val="28"/>
        </w:rPr>
        <w:t>1,7</w:t>
      </w:r>
      <w:r w:rsidR="008F3210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20BD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державне мито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127,0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тис. грн., або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104,2</w:t>
      </w:r>
      <w:r w:rsidR="009D137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9D137A">
        <w:rPr>
          <w:rFonts w:ascii="Times New Roman" w:hAnsi="Times New Roman" w:cs="Times New Roman"/>
          <w:color w:val="000000"/>
          <w:sz w:val="28"/>
          <w:szCs w:val="28"/>
        </w:rPr>
        <w:t xml:space="preserve">уточненого </w:t>
      </w:r>
      <w:r w:rsidR="006741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лану </w:t>
      </w:r>
      <w:r w:rsidR="0067410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97C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2019 рік;</w:t>
      </w:r>
    </w:p>
    <w:p w:rsidR="00312550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інші надходження</w:t>
      </w:r>
      <w:r w:rsidR="001B2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1B20BD">
        <w:rPr>
          <w:rFonts w:ascii="Times New Roman" w:hAnsi="Times New Roman" w:cs="Times New Roman"/>
          <w:color w:val="000000"/>
          <w:sz w:val="28"/>
          <w:szCs w:val="28"/>
        </w:rPr>
        <w:t>32,0</w:t>
      </w:r>
      <w:r w:rsidR="00024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1ED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C41E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59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4615" w:rsidRDefault="003F4615" w:rsidP="0031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615" w:rsidRDefault="003F4615" w:rsidP="003F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3F4615" w:rsidRDefault="003F4615" w:rsidP="003F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AE10BE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41ED6">
        <w:rPr>
          <w:rFonts w:ascii="Times New Roman" w:hAnsi="Times New Roman" w:cs="Times New Roman"/>
          <w:color w:val="000000"/>
          <w:sz w:val="28"/>
          <w:szCs w:val="28"/>
        </w:rPr>
        <w:t>2019 р</w:t>
      </w:r>
      <w:r w:rsidR="0076597C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C41ED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до загального фонду  бюджету </w:t>
      </w:r>
      <w:r w:rsidR="00EE6A38">
        <w:rPr>
          <w:rFonts w:ascii="Times New Roman" w:hAnsi="Times New Roman" w:cs="Times New Roman"/>
          <w:color w:val="000000"/>
          <w:sz w:val="28"/>
          <w:szCs w:val="28"/>
        </w:rPr>
        <w:t xml:space="preserve">громади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надійшло </w:t>
      </w:r>
      <w:r w:rsidRPr="003F4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офіційних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трансфертів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на загальну суму </w:t>
      </w:r>
      <w:r w:rsidR="00AE10BE">
        <w:rPr>
          <w:rFonts w:ascii="Times New Roman" w:hAnsi="Times New Roman" w:cs="Times New Roman"/>
          <w:b/>
          <w:color w:val="000000"/>
          <w:sz w:val="28"/>
          <w:szCs w:val="28"/>
        </w:rPr>
        <w:t>60658,7</w:t>
      </w:r>
      <w:r w:rsidR="00024F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3A17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тому числі</w:t>
      </w:r>
      <w:r w:rsidR="00CA5C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E10BE" w:rsidRDefault="00DE0275" w:rsidP="00AE10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</w:t>
      </w:r>
      <w:r w:rsidR="003A174C" w:rsidRPr="00AE10BE">
        <w:rPr>
          <w:rFonts w:ascii="Times New Roman" w:hAnsi="Times New Roman" w:cs="Times New Roman"/>
          <w:b/>
          <w:color w:val="000000"/>
          <w:sz w:val="28"/>
          <w:szCs w:val="28"/>
        </w:rPr>
        <w:t>отаці</w:t>
      </w:r>
      <w:r w:rsidR="00AE10BE" w:rsidRPr="00AE10BE">
        <w:rPr>
          <w:rFonts w:ascii="Times New Roman" w:hAnsi="Times New Roman" w:cs="Times New Roman"/>
          <w:b/>
          <w:color w:val="000000"/>
          <w:sz w:val="28"/>
          <w:szCs w:val="28"/>
        </w:rPr>
        <w:t>ї з місцевих бюджетів іншим місцевим бюджетам</w:t>
      </w:r>
      <w:r w:rsidR="00C76FC4" w:rsidRPr="00AE10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E10BE" w:rsidRPr="00AE10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                </w:t>
      </w:r>
      <w:r w:rsidR="003A174C" w:rsidRPr="00AE1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0BE" w:rsidRPr="00AE10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6467,8 </w:t>
      </w:r>
      <w:proofErr w:type="spellStart"/>
      <w:r w:rsidR="003A174C" w:rsidRPr="00AE10BE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3A174C" w:rsidRPr="00AE10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10BE" w:rsidRPr="00AE10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 тому числі:</w:t>
      </w:r>
    </w:p>
    <w:p w:rsidR="00DE0275" w:rsidRPr="00DE0275" w:rsidRDefault="00DE0275" w:rsidP="00DE0275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-  дотація з місцевого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6467,8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0BE">
        <w:rPr>
          <w:rFonts w:ascii="Times New Roman" w:hAnsi="Times New Roman" w:cs="Times New Roman"/>
          <w:color w:val="000000"/>
          <w:sz w:val="28"/>
          <w:szCs w:val="28"/>
        </w:rPr>
        <w:t>або 100%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4615" w:rsidRPr="00DE0275" w:rsidRDefault="00DE0275" w:rsidP="00DE027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3F4615" w:rsidRPr="00DE0275">
        <w:rPr>
          <w:rFonts w:ascii="Times New Roman" w:hAnsi="Times New Roman" w:cs="Times New Roman"/>
          <w:b/>
          <w:color w:val="000000"/>
          <w:sz w:val="28"/>
          <w:szCs w:val="28"/>
        </w:rPr>
        <w:t>убвенці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ї</w:t>
      </w:r>
      <w:r w:rsidR="003F4615" w:rsidRP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4F11" w:rsidRPr="00DE0275">
        <w:rPr>
          <w:rFonts w:ascii="Times New Roman" w:hAnsi="Times New Roman" w:cs="Times New Roman"/>
          <w:b/>
          <w:color w:val="000000"/>
          <w:sz w:val="28"/>
          <w:szCs w:val="28"/>
        </w:rPr>
        <w:t>з державного бюджету</w:t>
      </w:r>
      <w:r w:rsidR="00024F11"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місцевим бюджетам -                  </w:t>
      </w:r>
      <w:r w:rsidR="003F4615"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0BE" w:rsidRPr="00DE0275">
        <w:rPr>
          <w:rFonts w:ascii="Times New Roman" w:hAnsi="Times New Roman" w:cs="Times New Roman"/>
          <w:b/>
          <w:color w:val="000000"/>
          <w:sz w:val="28"/>
          <w:szCs w:val="28"/>
        </w:rPr>
        <w:t>51859,7</w:t>
      </w:r>
      <w:r w:rsidR="0057645D" w:rsidRP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4615" w:rsidRPr="00DE0275">
        <w:rPr>
          <w:rFonts w:ascii="Times New Roman" w:hAnsi="Times New Roman" w:cs="Times New Roman"/>
          <w:color w:val="000000"/>
          <w:sz w:val="28"/>
          <w:szCs w:val="28"/>
        </w:rPr>
        <w:t>тис</w:t>
      </w:r>
      <w:r w:rsidR="00A351A2" w:rsidRPr="00DE02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4615" w:rsidRPr="00DE0275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3F4615" w:rsidRPr="00DE0275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CB47B7"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3F4615"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тому числі:</w:t>
      </w:r>
    </w:p>
    <w:p w:rsidR="003C1F35" w:rsidRDefault="003C1F3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3C1F35">
        <w:rPr>
          <w:rFonts w:ascii="Times New Roman" w:hAnsi="Times New Roman" w:cs="Times New Roman"/>
          <w:color w:val="000000"/>
          <w:sz w:val="28"/>
          <w:szCs w:val="28"/>
        </w:rPr>
        <w:t>убвенція з державного бюджету місцевим бюджетам на формування інфраструктури об`єднаних територіальних громад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2452,2</w:t>
      </w:r>
      <w:r w:rsidR="0057645D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або 100%;</w:t>
      </w:r>
    </w:p>
    <w:p w:rsidR="003C1F35" w:rsidRPr="003C1F35" w:rsidRDefault="003C1F3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3C1F35">
        <w:rPr>
          <w:rFonts w:ascii="Times New Roman" w:hAnsi="Times New Roman" w:cs="Times New Roman"/>
          <w:color w:val="000000"/>
          <w:sz w:val="28"/>
          <w:szCs w:val="28"/>
        </w:rPr>
        <w:t>убвенція з державного бюджету місцевим бюджетам на здійснення заходів щодо соціально-економічного розвитку окремих територій</w:t>
      </w:r>
      <w:r w:rsidRPr="003C1F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1F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E10BE">
        <w:rPr>
          <w:rFonts w:ascii="Times New Roman" w:hAnsi="Times New Roman" w:cs="Times New Roman"/>
          <w:color w:val="000000"/>
          <w:sz w:val="28"/>
          <w:szCs w:val="28"/>
          <w:lang w:val="ru-RU"/>
        </w:rPr>
        <w:t>4000,0</w:t>
      </w:r>
      <w:r w:rsidRPr="003C1F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, або 100%;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47B7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- освітня субвенція з державного бюджету –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32538,0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>., або 100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10BE" w:rsidRDefault="003F4615" w:rsidP="00024F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- медична субвенція з державного бюджету –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12869,5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AE10BE">
        <w:rPr>
          <w:rFonts w:ascii="Times New Roman" w:hAnsi="Times New Roman" w:cs="Times New Roman"/>
          <w:color w:val="000000"/>
          <w:sz w:val="28"/>
          <w:szCs w:val="28"/>
        </w:rPr>
        <w:t>., або 100%.</w:t>
      </w:r>
    </w:p>
    <w:p w:rsidR="00024F11" w:rsidRPr="00DE0275" w:rsidRDefault="00AE10BE" w:rsidP="00DE027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24F11" w:rsidRPr="00DE0275">
        <w:rPr>
          <w:rFonts w:ascii="Times New Roman" w:hAnsi="Times New Roman" w:cs="Times New Roman"/>
          <w:b/>
          <w:color w:val="000000"/>
          <w:sz w:val="28"/>
          <w:szCs w:val="28"/>
        </w:rPr>
        <w:t>убвенці</w:t>
      </w:r>
      <w:r w:rsidR="00DE0275">
        <w:rPr>
          <w:rFonts w:ascii="Times New Roman" w:hAnsi="Times New Roman" w:cs="Times New Roman"/>
          <w:b/>
          <w:color w:val="000000"/>
          <w:sz w:val="28"/>
          <w:szCs w:val="28"/>
        </w:rPr>
        <w:t>ї</w:t>
      </w:r>
      <w:r w:rsidR="00024F11" w:rsidRP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місцев</w:t>
      </w:r>
      <w:r w:rsidR="00DE0275">
        <w:rPr>
          <w:rFonts w:ascii="Times New Roman" w:hAnsi="Times New Roman" w:cs="Times New Roman"/>
          <w:b/>
          <w:color w:val="000000"/>
          <w:sz w:val="28"/>
          <w:szCs w:val="28"/>
        </w:rPr>
        <w:t>их</w:t>
      </w:r>
      <w:r w:rsidR="00024F11" w:rsidRP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бюджет</w:t>
      </w:r>
      <w:r w:rsidR="00DE0275">
        <w:rPr>
          <w:rFonts w:ascii="Times New Roman" w:hAnsi="Times New Roman" w:cs="Times New Roman"/>
          <w:b/>
          <w:color w:val="000000"/>
          <w:sz w:val="28"/>
          <w:szCs w:val="28"/>
        </w:rPr>
        <w:t>ів іншим місцевим бюджетам</w:t>
      </w:r>
      <w:r w:rsidR="003C1F35" w:rsidRP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  </w:t>
      </w:r>
      <w:r w:rsidR="003C1F35" w:rsidRPr="00DE0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4F11"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275">
        <w:rPr>
          <w:rFonts w:ascii="Times New Roman" w:hAnsi="Times New Roman" w:cs="Times New Roman"/>
          <w:b/>
          <w:color w:val="000000"/>
          <w:sz w:val="28"/>
          <w:szCs w:val="28"/>
        </w:rPr>
        <w:t>2331,2</w:t>
      </w:r>
      <w:r w:rsidR="00024F11" w:rsidRPr="00DE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4F11" w:rsidRPr="00DE027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024F11" w:rsidRPr="00DE0275">
        <w:rPr>
          <w:rFonts w:ascii="Times New Roman" w:hAnsi="Times New Roman" w:cs="Times New Roman"/>
          <w:color w:val="000000"/>
          <w:sz w:val="28"/>
          <w:szCs w:val="28"/>
        </w:rPr>
        <w:t>., у тому числі:</w:t>
      </w:r>
    </w:p>
    <w:p w:rsidR="003F4615" w:rsidRP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>- субвенція з місцевого бюджету на надання державної підтримки особам з особливими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429,4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або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99,4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>- субвенція з місцевого бюджету на забезпечення якісної, сучасної та доступної загальної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середньої освіти "Нова українська школа" за рахунок відповідної субвенції з державного</w:t>
      </w:r>
      <w:r w:rsidR="00B651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бюджету –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 xml:space="preserve">439,4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99,9</w:t>
      </w:r>
      <w:r w:rsidR="00B6518F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5C9A" w:rsidRDefault="00CA5C9A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CA5C9A">
        <w:rPr>
          <w:rFonts w:ascii="Times New Roman" w:hAnsi="Times New Roman" w:cs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408,6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, або 93,7%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5C9A" w:rsidRDefault="00CA5C9A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CA5C9A">
        <w:rPr>
          <w:rFonts w:ascii="Times New Roman" w:hAnsi="Times New Roman" w:cs="Times New Roman"/>
          <w:color w:val="000000"/>
          <w:sz w:val="28"/>
          <w:szCs w:val="28"/>
        </w:rPr>
        <w:t>убвенція з місцевого бюджету за рахунок залишку коштів освітньої субвенції, що утворився на початок бюджетного періоду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261,1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, або 100%</w:t>
      </w:r>
      <w:r w:rsidR="00E06E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6E8E" w:rsidRPr="003F4615" w:rsidRDefault="00E06E8E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C1F35" w:rsidRPr="003C1F35">
        <w:rPr>
          <w:rFonts w:ascii="Times New Roman" w:hAnsi="Times New Roman" w:cs="Times New Roman"/>
          <w:color w:val="000000"/>
          <w:sz w:val="28"/>
          <w:szCs w:val="28"/>
        </w:rPr>
        <w:t>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F35" w:rsidRPr="003F461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420,2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1F3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AE10BE">
        <w:rPr>
          <w:rFonts w:ascii="Times New Roman" w:hAnsi="Times New Roman" w:cs="Times New Roman"/>
          <w:color w:val="000000"/>
          <w:sz w:val="28"/>
          <w:szCs w:val="28"/>
        </w:rPr>
        <w:t>., або 100%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- інші субвенції з місцевого бюджету – </w:t>
      </w:r>
      <w:r w:rsidR="00AE10BE">
        <w:rPr>
          <w:rFonts w:ascii="Times New Roman" w:hAnsi="Times New Roman" w:cs="Times New Roman"/>
          <w:color w:val="000000"/>
          <w:sz w:val="28"/>
          <w:szCs w:val="28"/>
        </w:rPr>
        <w:t>372,5</w:t>
      </w:r>
      <w:r w:rsidR="00E06E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="00B6518F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50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0DF" w:rsidRDefault="000950DF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615" w:rsidRPr="0049137A" w:rsidRDefault="00875BAD" w:rsidP="00875B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Спеціальний фонд</w:t>
      </w:r>
    </w:p>
    <w:p w:rsidR="00875BAD" w:rsidRDefault="00875BAD" w:rsidP="00875BA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875BAD" w:rsidRDefault="006868E5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Надходження по спеціальному фонду за 2019 р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складають </w:t>
      </w:r>
      <w:r w:rsidR="00C467BB" w:rsidRPr="00C467BB">
        <w:rPr>
          <w:rFonts w:ascii="Times New Roman" w:hAnsi="Times New Roman" w:cs="Times New Roman"/>
          <w:b/>
          <w:color w:val="000000"/>
          <w:sz w:val="28"/>
          <w:szCs w:val="28"/>
        </w:rPr>
        <w:t>6460,2</w:t>
      </w:r>
      <w:r w:rsidR="001F4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при плані – </w:t>
      </w:r>
      <w:r w:rsidR="00C467BB">
        <w:rPr>
          <w:rFonts w:ascii="Times New Roman" w:hAnsi="Times New Roman" w:cs="Times New Roman"/>
          <w:b/>
          <w:color w:val="000000"/>
          <w:sz w:val="28"/>
          <w:szCs w:val="28"/>
        </w:rPr>
        <w:t>6419,5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EE6A38">
        <w:rPr>
          <w:rFonts w:ascii="Times New Roman" w:hAnsi="Times New Roman" w:cs="Times New Roman"/>
          <w:color w:val="000000"/>
          <w:sz w:val="28"/>
          <w:szCs w:val="28"/>
        </w:rPr>
        <w:t xml:space="preserve">відсоток виконання становить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100,6</w:t>
      </w:r>
      <w:r w:rsidR="00C9330C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75BAD"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5BAD" w:rsidRP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Природоохоронний фонд </w:t>
      </w:r>
      <w:r w:rsidR="000950DF">
        <w:rPr>
          <w:rFonts w:ascii="Times New Roman" w:hAnsi="Times New Roman" w:cs="Times New Roman"/>
          <w:color w:val="000000"/>
          <w:sz w:val="28"/>
          <w:szCs w:val="28"/>
        </w:rPr>
        <w:t xml:space="preserve">складає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92,3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0950DF" w:rsidRPr="000950DF">
        <w:rPr>
          <w:rFonts w:ascii="Times New Roman" w:hAnsi="Times New Roman" w:cs="Times New Roman"/>
          <w:sz w:val="28"/>
          <w:szCs w:val="28"/>
        </w:rPr>
        <w:t>т</w:t>
      </w:r>
      <w:r w:rsidRPr="000950DF">
        <w:rPr>
          <w:rFonts w:ascii="Times New Roman" w:hAnsi="Times New Roman" w:cs="Times New Roman"/>
          <w:sz w:val="28"/>
          <w:szCs w:val="28"/>
        </w:rPr>
        <w:t>ис. грн.,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>а саме:</w:t>
      </w:r>
    </w:p>
    <w:p w:rsid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- екологічного податку надійшло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75,5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125,1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виконання плану,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 xml:space="preserve">в порівнянні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>до відповідного періоду минулого року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 xml:space="preserve"> надходження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збільшились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7149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4,2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 xml:space="preserve">, або на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5,9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-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надійшло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16,8</w:t>
      </w:r>
      <w:r w:rsidR="00D61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7397" w:rsidRPr="00777397" w:rsidRDefault="00777397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бюджету розвитку </w:t>
      </w:r>
      <w:r w:rsidRPr="0077739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2019 р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к надійшли кошти</w:t>
      </w:r>
      <w:r w:rsidRPr="00777397">
        <w:rPr>
          <w:rFonts w:ascii="Times New Roman" w:hAnsi="Times New Roman" w:cs="Times New Roman"/>
          <w:color w:val="000000"/>
          <w:sz w:val="28"/>
          <w:szCs w:val="28"/>
        </w:rPr>
        <w:t xml:space="preserve"> пайової участі у розвитку інфраструктури населеного пункту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сумі 108,8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5BAD" w:rsidRP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становлять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5986,9</w:t>
      </w:r>
      <w:r w:rsidR="007773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6D3B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686D3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проти відповідного періоду минулого року надходження </w:t>
      </w:r>
      <w:r w:rsidR="00BB3022">
        <w:rPr>
          <w:rFonts w:ascii="Times New Roman" w:hAnsi="Times New Roman" w:cs="Times New Roman"/>
          <w:color w:val="000000"/>
          <w:sz w:val="28"/>
          <w:szCs w:val="28"/>
        </w:rPr>
        <w:t>збільшились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A02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7BB">
        <w:rPr>
          <w:rFonts w:ascii="Times New Roman" w:hAnsi="Times New Roman" w:cs="Times New Roman"/>
          <w:color w:val="000000"/>
          <w:sz w:val="28"/>
          <w:szCs w:val="28"/>
        </w:rPr>
        <w:t>2995,0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тис.грн.</w:t>
      </w:r>
    </w:p>
    <w:p w:rsidR="00BD1772" w:rsidRDefault="00BD177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1A2" w:rsidRDefault="009901A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1A2" w:rsidRDefault="009901A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D14B3" w:rsidRDefault="009D14B3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856EFF" w:rsidRDefault="00FB0A00" w:rsidP="00FB0A0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</w:t>
      </w:r>
      <w:r w:rsidR="00856EFF" w:rsidRPr="00F136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ВИКОНАННЯ ВИДАТКІВ</w:t>
      </w:r>
    </w:p>
    <w:p w:rsidR="00FF2211" w:rsidRPr="00FF2211" w:rsidRDefault="007E7863" w:rsidP="00E45C1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7E78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="00FF2211" w:rsidRPr="00FF221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                                       </w:t>
      </w:r>
    </w:p>
    <w:p w:rsidR="00FF2211" w:rsidRPr="007D7F0B" w:rsidRDefault="00FF2211" w:rsidP="00FF22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7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7D7F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Загальний  фонд</w:t>
      </w:r>
    </w:p>
    <w:p w:rsidR="00FF2211" w:rsidRPr="00BA6E0B" w:rsidRDefault="00FF2211" w:rsidP="00FF22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 видатків загального фонду по бюджету об’єднаної територіальної громади  за 201</w:t>
      </w:r>
      <w:r w:rsidR="00167B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становить –   </w:t>
      </w:r>
      <w:r w:rsidR="00167BEE">
        <w:rPr>
          <w:rFonts w:ascii="Times New Roman" w:eastAsia="Times New Roman" w:hAnsi="Times New Roman" w:cs="Times New Roman"/>
          <w:sz w:val="28"/>
          <w:szCs w:val="28"/>
          <w:lang w:eastAsia="ru-RU"/>
        </w:rPr>
        <w:t>141929,2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тому числі: на  утримання органів місцевого самоврядування в сумі – </w:t>
      </w:r>
      <w:r w:rsidR="00167BEE">
        <w:rPr>
          <w:rFonts w:ascii="Times New Roman" w:eastAsia="Times New Roman" w:hAnsi="Times New Roman" w:cs="Times New Roman"/>
          <w:sz w:val="28"/>
          <w:szCs w:val="28"/>
          <w:lang w:eastAsia="ru-RU"/>
        </w:rPr>
        <w:t>15368,2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 9</w:t>
      </w:r>
      <w:r w:rsidR="00167B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змін, на галузь "Освіта" використано коштів в сумі  -  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92094,4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( 9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у тому числі видатки по дитячій музичній школі становлять 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>2894,7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(9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28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 соціальний захист та соціальне забезпечення фактично використано </w:t>
      </w:r>
      <w:r w:rsidR="00131C51">
        <w:rPr>
          <w:rFonts w:ascii="Times New Roman" w:eastAsia="Times New Roman" w:hAnsi="Times New Roman" w:cs="Times New Roman"/>
          <w:sz w:val="28"/>
          <w:szCs w:val="28"/>
          <w:lang w:eastAsia="ru-RU"/>
        </w:rPr>
        <w:t>5454,9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131C5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,6%), на утримання галузі "Культура і мистецтво" спрямовано коштів в обсязі  – </w:t>
      </w:r>
      <w:r w:rsidR="008A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430F5">
        <w:rPr>
          <w:rFonts w:ascii="Times New Roman" w:eastAsia="Times New Roman" w:hAnsi="Times New Roman" w:cs="Times New Roman"/>
          <w:sz w:val="28"/>
          <w:szCs w:val="28"/>
          <w:lang w:eastAsia="ru-RU"/>
        </w:rPr>
        <w:t>4958,0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( 97,</w:t>
      </w:r>
      <w:r w:rsidR="00A430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уточнених  призначень звітного періоду), видатки на фізичну культуру і спорт –  </w:t>
      </w:r>
      <w:r w:rsidR="0013055D">
        <w:rPr>
          <w:rFonts w:ascii="Times New Roman" w:eastAsia="Times New Roman" w:hAnsi="Times New Roman" w:cs="Times New Roman"/>
          <w:sz w:val="28"/>
          <w:szCs w:val="28"/>
          <w:lang w:eastAsia="ru-RU"/>
        </w:rPr>
        <w:t>2804,1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  <w:r w:rsidR="0013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55D">
        <w:rPr>
          <w:rFonts w:ascii="Times New Roman" w:eastAsia="Times New Roman" w:hAnsi="Times New Roman" w:cs="Times New Roman"/>
          <w:sz w:val="28"/>
          <w:szCs w:val="28"/>
          <w:lang w:eastAsia="ru-RU"/>
        </w:rPr>
        <w:t>85,8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видатки на житлово-комунальне господарство склали </w:t>
      </w:r>
      <w:r w:rsidR="004C1FE0">
        <w:rPr>
          <w:rFonts w:ascii="Times New Roman" w:eastAsia="Times New Roman" w:hAnsi="Times New Roman" w:cs="Times New Roman"/>
          <w:sz w:val="28"/>
          <w:szCs w:val="28"/>
          <w:lang w:eastAsia="ru-RU"/>
        </w:rPr>
        <w:t>5687,1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(9</w:t>
      </w:r>
      <w:r w:rsidR="004C1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F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субвенція з місцевого бюджету державному бюджету на виконання програм соціально-економічного та культурного розвитку регіонів перерахована в сумі </w:t>
      </w:r>
      <w:r w:rsidR="00CB4180">
        <w:rPr>
          <w:rFonts w:ascii="Times New Roman" w:eastAsia="Times New Roman" w:hAnsi="Times New Roman" w:cs="Times New Roman"/>
          <w:sz w:val="28"/>
          <w:szCs w:val="28"/>
          <w:lang w:eastAsia="ru-RU"/>
        </w:rPr>
        <w:t>101,4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(100%), медична субвенція з державного бюджету, перерахована районному бюджету в сумі </w:t>
      </w:r>
      <w:r w:rsidR="00CB4180">
        <w:rPr>
          <w:rFonts w:ascii="Times New Roman" w:eastAsia="Times New Roman" w:hAnsi="Times New Roman" w:cs="Times New Roman"/>
          <w:sz w:val="28"/>
          <w:szCs w:val="28"/>
          <w:lang w:eastAsia="ru-RU"/>
        </w:rPr>
        <w:t>12869,5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.(100%),</w:t>
      </w:r>
      <w:r w:rsidR="00C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субвенції з місцевого бюджету</w:t>
      </w:r>
      <w:r w:rsidR="00FA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перераховані до районного бюджету 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</w:t>
      </w:r>
      <w:r w:rsidR="00C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1090,6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r w:rsidR="00CB4180">
        <w:rPr>
          <w:rFonts w:ascii="Times New Roman" w:eastAsia="Times New Roman" w:hAnsi="Times New Roman" w:cs="Times New Roman"/>
          <w:sz w:val="28"/>
          <w:szCs w:val="28"/>
          <w:lang w:eastAsia="ru-RU"/>
        </w:rPr>
        <w:t>93,9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 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Видатки по першочергових та захищених статтях проведені: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оплату праці  з нарахуваннями – </w:t>
      </w:r>
      <w:r w:rsidR="00DC2FC5">
        <w:rPr>
          <w:rFonts w:ascii="Times New Roman" w:eastAsia="Times New Roman" w:hAnsi="Times New Roman" w:cs="Times New Roman"/>
          <w:sz w:val="28"/>
          <w:szCs w:val="28"/>
          <w:lang w:eastAsia="ru-RU"/>
        </w:rPr>
        <w:t>92842,7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що становить              96,</w:t>
      </w:r>
      <w:r w:rsidR="00BC10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відсотки до планових призначень</w:t>
      </w:r>
      <w:r w:rsidR="0040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уточненнями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Невикористання коштів  –                 </w:t>
      </w:r>
      <w:r w:rsidR="000F564C">
        <w:rPr>
          <w:rFonts w:ascii="Times New Roman" w:eastAsia="Times New Roman" w:hAnsi="Times New Roman" w:cs="Times New Roman"/>
          <w:sz w:val="28"/>
          <w:szCs w:val="28"/>
          <w:lang w:eastAsia="ru-RU"/>
        </w:rPr>
        <w:t>3211,2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зв’язку з незаповненістю вакантних посад, а також  в результаті економії фонду заробітної плати у зв’язку</w:t>
      </w:r>
      <w:r w:rsidR="00DB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перебуванням працівників на лікарняних; 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медикаменти та перев’язувальні матеріали профінансовані </w:t>
      </w:r>
      <w:r w:rsidR="00D009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8A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00918">
        <w:rPr>
          <w:rFonts w:ascii="Times New Roman" w:eastAsia="Times New Roman" w:hAnsi="Times New Roman" w:cs="Times New Roman"/>
          <w:sz w:val="28"/>
          <w:szCs w:val="28"/>
          <w:lang w:eastAsia="ru-RU"/>
        </w:rPr>
        <w:t>13,0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або </w:t>
      </w:r>
      <w:r w:rsidR="0091305D">
        <w:rPr>
          <w:rFonts w:ascii="Times New Roman" w:eastAsia="Times New Roman" w:hAnsi="Times New Roman" w:cs="Times New Roman"/>
          <w:sz w:val="28"/>
          <w:szCs w:val="28"/>
          <w:lang w:eastAsia="ru-RU"/>
        </w:rPr>
        <w:t>65,1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</w:t>
      </w:r>
      <w:r w:rsidR="009130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продукти харчування – </w:t>
      </w:r>
      <w:r w:rsidR="008F684A">
        <w:rPr>
          <w:rFonts w:ascii="Times New Roman" w:eastAsia="Times New Roman" w:hAnsi="Times New Roman" w:cs="Times New Roman"/>
          <w:sz w:val="28"/>
          <w:szCs w:val="28"/>
          <w:lang w:eastAsia="ru-RU"/>
        </w:rPr>
        <w:t>3397,0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7</w:t>
      </w:r>
      <w:r w:rsidR="008F68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68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комунальних послуг та енергоносіїв – </w:t>
      </w:r>
      <w:r w:rsidR="00AE0B4D">
        <w:rPr>
          <w:rFonts w:ascii="Times New Roman" w:eastAsia="Times New Roman" w:hAnsi="Times New Roman" w:cs="Times New Roman"/>
          <w:sz w:val="28"/>
          <w:szCs w:val="28"/>
          <w:lang w:eastAsia="ru-RU"/>
        </w:rPr>
        <w:t>14795,1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що становить – 9</w:t>
      </w:r>
      <w:r w:rsidR="005310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10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уточнених призначень, невикористання становить  </w:t>
      </w:r>
      <w:r w:rsidR="0014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562,3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66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дотриманням економії енергоносіїв, а також відшкодуванням орендарями коштів за надані послуги.</w:t>
      </w:r>
    </w:p>
    <w:p w:rsidR="003310F1" w:rsidRPr="005C152B" w:rsidRDefault="00FF2211" w:rsidP="00331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0F1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2985" w:rsidRPr="001229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оточні трансферти органам державного управління інших рівнів</w:t>
      </w:r>
      <w:r w:rsidR="003310F1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22985">
        <w:rPr>
          <w:rFonts w:ascii="Times New Roman" w:eastAsia="Times New Roman" w:hAnsi="Times New Roman" w:cs="Times New Roman"/>
          <w:sz w:val="28"/>
          <w:szCs w:val="28"/>
          <w:lang w:eastAsia="ru-RU"/>
        </w:rPr>
        <w:t>14061,5</w:t>
      </w:r>
      <w:r w:rsidR="003310F1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10F1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3310F1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або </w:t>
      </w:r>
      <w:r w:rsidR="00122985">
        <w:rPr>
          <w:rFonts w:ascii="Times New Roman" w:eastAsia="Times New Roman" w:hAnsi="Times New Roman" w:cs="Times New Roman"/>
          <w:sz w:val="28"/>
          <w:szCs w:val="28"/>
          <w:lang w:eastAsia="ru-RU"/>
        </w:rPr>
        <w:t>99,5</w:t>
      </w:r>
      <w:r w:rsidR="003310F1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відсотків</w:t>
      </w:r>
      <w:r w:rsidR="00331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0F1" w:rsidRPr="005C152B" w:rsidRDefault="003310F1" w:rsidP="00331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1B57" w:rsidRPr="00A9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оціальне забезпечення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91B57">
        <w:rPr>
          <w:rFonts w:ascii="Times New Roman" w:eastAsia="Times New Roman" w:hAnsi="Times New Roman" w:cs="Times New Roman"/>
          <w:sz w:val="28"/>
          <w:szCs w:val="28"/>
          <w:lang w:eastAsia="ru-RU"/>
        </w:rPr>
        <w:t>743,8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або </w:t>
      </w:r>
      <w:r w:rsidR="007D5C14">
        <w:rPr>
          <w:rFonts w:ascii="Times New Roman" w:eastAsia="Times New Roman" w:hAnsi="Times New Roman" w:cs="Times New Roman"/>
          <w:sz w:val="28"/>
          <w:szCs w:val="28"/>
          <w:lang w:eastAsia="ru-RU"/>
        </w:rPr>
        <w:t>92,3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Короткотермінові та середньострокові позички протягом 201</w:t>
      </w:r>
      <w:r w:rsidR="005F3D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не отримувалися. </w:t>
      </w:r>
    </w:p>
    <w:p w:rsidR="00FF2211" w:rsidRPr="005C152B" w:rsidRDefault="00FF2211" w:rsidP="00FF2211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бюджету громади забезпечено збереження оборотного залишку бюджетних коштів на кінець 201</w:t>
      </w:r>
      <w:r w:rsidR="00600A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600AE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 1</w:t>
      </w:r>
      <w:r w:rsidR="00600A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eastAsia="ru-RU"/>
        </w:rPr>
      </w:pPr>
    </w:p>
    <w:p w:rsidR="00FF2211" w:rsidRPr="00D44D2D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1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</w:t>
      </w:r>
      <w:r w:rsidRPr="00D44D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Спеціальний фонд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Видатки спеціального фонду по бюджету </w:t>
      </w:r>
      <w:r w:rsidR="0036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 територіальної громади  за 201</w:t>
      </w:r>
      <w:r w:rsidR="008706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становлять –  </w:t>
      </w:r>
      <w:r w:rsidR="0087068E">
        <w:rPr>
          <w:rFonts w:ascii="Times New Roman" w:eastAsia="Times New Roman" w:hAnsi="Times New Roman" w:cs="Times New Roman"/>
          <w:sz w:val="28"/>
          <w:szCs w:val="28"/>
          <w:lang w:eastAsia="ru-RU"/>
        </w:rPr>
        <w:t>20658,9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з них найвагоміші: придбання обладнання і предметів довгострокового користування –</w:t>
      </w:r>
      <w:r w:rsidR="002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5380,2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5315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15E6" w:rsidRPr="00531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апітальне будівництво (придбання)</w:t>
      </w:r>
      <w:r w:rsidR="0053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1461,4</w:t>
      </w:r>
      <w:r w:rsidR="005315E6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15E6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315E6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53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капітальний ремонт – </w:t>
      </w:r>
      <w:r w:rsidR="002B4078">
        <w:rPr>
          <w:rFonts w:ascii="Times New Roman" w:eastAsia="Times New Roman" w:hAnsi="Times New Roman" w:cs="Times New Roman"/>
          <w:sz w:val="28"/>
          <w:szCs w:val="28"/>
          <w:lang w:eastAsia="ru-RU"/>
        </w:rPr>
        <w:t>4480,9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реконструкція та реставрація – </w:t>
      </w:r>
      <w:r w:rsidR="002B4078">
        <w:rPr>
          <w:rFonts w:ascii="Times New Roman" w:eastAsia="Times New Roman" w:hAnsi="Times New Roman" w:cs="Times New Roman"/>
          <w:sz w:val="28"/>
          <w:szCs w:val="28"/>
          <w:lang w:eastAsia="ru-RU"/>
        </w:rPr>
        <w:t>5778,4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5703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кредиторська заборгованість по загальному та спеціальному фондах відсутня. Дебіторська заборгованість по  загальному фонду станом на 01.01.201</w:t>
      </w:r>
      <w:r w:rsidR="00FE28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становила </w:t>
      </w:r>
      <w:r w:rsidR="00FB51B7">
        <w:rPr>
          <w:rFonts w:ascii="Times New Roman" w:eastAsia="Times New Roman" w:hAnsi="Times New Roman" w:cs="Times New Roman"/>
          <w:sz w:val="28"/>
          <w:szCs w:val="28"/>
          <w:lang w:eastAsia="ru-RU"/>
        </w:rPr>
        <w:t>10,5</w:t>
      </w:r>
      <w:r w:rsidRPr="00FE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грн. (незахищені видатки по передплаті періодичних видань), станом на 01.01.20</w:t>
      </w:r>
      <w:r w:rsidR="00FE28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становить – </w:t>
      </w:r>
      <w:r w:rsidR="00FB51B7">
        <w:rPr>
          <w:rFonts w:ascii="Times New Roman" w:eastAsia="Times New Roman" w:hAnsi="Times New Roman" w:cs="Times New Roman"/>
          <w:sz w:val="28"/>
          <w:szCs w:val="28"/>
          <w:lang w:eastAsia="ru-RU"/>
        </w:rPr>
        <w:t>98,8</w:t>
      </w:r>
      <w:r w:rsidRPr="005C1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(незахищені видатки по передплаті періодичних видань)</w:t>
      </w:r>
      <w:r w:rsidR="00FC6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F7E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Дебіторська заборгованість по </w:t>
      </w:r>
      <w:r w:rsidR="00FC6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</w:t>
      </w:r>
      <w:r w:rsidR="00FC6F7E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фонду станом на 01.01.20</w:t>
      </w:r>
      <w:r w:rsidR="00FC6F7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C6F7E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становить – </w:t>
      </w:r>
      <w:r w:rsidR="00FC6F7E">
        <w:rPr>
          <w:rFonts w:ascii="Times New Roman" w:eastAsia="Times New Roman" w:hAnsi="Times New Roman" w:cs="Times New Roman"/>
          <w:sz w:val="28"/>
          <w:szCs w:val="28"/>
          <w:lang w:eastAsia="ru-RU"/>
        </w:rPr>
        <w:t>126,3</w:t>
      </w:r>
      <w:r w:rsidR="00FC6F7E" w:rsidRPr="005C1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FC6F7E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FC6F7E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787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</w:t>
      </w:r>
      <w:r w:rsidR="001F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="001302C6" w:rsidRPr="001F1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батьківська плата</w:t>
      </w:r>
      <w:r w:rsidR="00FC6F7E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Структура видатків бюджету громади за 201</w:t>
      </w:r>
      <w:r w:rsidR="001F633E">
        <w:rPr>
          <w:rFonts w:ascii="TimesNewRomanPSMT" w:hAnsi="TimesNewRomanPSMT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рік за галузями характеризується даними, наведеними у рис.4.</w:t>
      </w:r>
    </w:p>
    <w:p w:rsidR="00FF2211" w:rsidRDefault="00FF2211" w:rsidP="00FF2211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Рис. 4.  Структура видаткової частини бюджету</w:t>
      </w:r>
      <w:r w:rsidR="001F633E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громади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галузями за 201</w:t>
      </w:r>
      <w:r w:rsidR="001F633E">
        <w:rPr>
          <w:rFonts w:ascii="TimesNewRomanPS-BoldMT" w:hAnsi="TimesNewRomanPS-BoldMT"/>
          <w:b/>
          <w:bCs/>
          <w:color w:val="000000"/>
          <w:sz w:val="28"/>
          <w:szCs w:val="28"/>
        </w:rPr>
        <w:t>9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рік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5F">
        <w:rPr>
          <w:noProof/>
          <w:sz w:val="28"/>
          <w:szCs w:val="28"/>
          <w:lang w:val="ru-RU" w:eastAsia="ru-RU"/>
        </w:rPr>
        <w:drawing>
          <wp:inline distT="0" distB="0" distL="0" distR="0" wp14:anchorId="4BCE7F1E" wp14:editId="4BEF8541">
            <wp:extent cx="5867400" cy="48577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83533D" w:rsidP="0083533D">
      <w:pPr>
        <w:tabs>
          <w:tab w:val="left" w:pos="6795"/>
        </w:tabs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3B58B8" w:rsidRDefault="003B58B8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3B58B8" w:rsidRDefault="003B58B8" w:rsidP="00FF221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Структура видатків бюджету громади за 201</w:t>
      </w:r>
      <w:r w:rsidR="00787629">
        <w:rPr>
          <w:rFonts w:ascii="TimesNewRomanPSMT" w:hAnsi="TimesNewRomanPSMT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рік за економічною класифікацією характеризується даними, наведеними у рис.5.</w:t>
      </w:r>
    </w:p>
    <w:p w:rsidR="00FF2211" w:rsidRDefault="00FF2211" w:rsidP="00FF2211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F2211" w:rsidRDefault="00FF2211" w:rsidP="00FF22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Рис. 5.  Структура видаткової частини бюджету</w:t>
      </w:r>
      <w:r w:rsidR="0059359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громади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економічною класифікацією за 201</w:t>
      </w:r>
      <w:r w:rsidR="00593591">
        <w:rPr>
          <w:rFonts w:ascii="TimesNewRomanPS-BoldMT" w:hAnsi="TimesNewRomanPS-BoldMT"/>
          <w:b/>
          <w:bCs/>
          <w:color w:val="000000"/>
          <w:sz w:val="28"/>
          <w:szCs w:val="28"/>
        </w:rPr>
        <w:t>9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рік</w:t>
      </w:r>
    </w:p>
    <w:p w:rsidR="00FF2211" w:rsidRDefault="00FF2211" w:rsidP="00FF22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211" w:rsidRDefault="00FF2211" w:rsidP="00093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47D">
        <w:rPr>
          <w:noProof/>
          <w:color w:val="0000FF"/>
          <w:sz w:val="20"/>
          <w:szCs w:val="20"/>
          <w:lang w:val="ru-RU" w:eastAsia="ru-RU"/>
        </w:rPr>
        <w:drawing>
          <wp:inline distT="0" distB="0" distL="0" distR="0" wp14:anchorId="3ED7E2E8" wp14:editId="7B28C561">
            <wp:extent cx="6267450" cy="49149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FF2211" w:rsidRDefault="00FF2211" w:rsidP="00FF22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211" w:rsidRPr="005C152B" w:rsidRDefault="00FF2211" w:rsidP="00FF22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КПКВ 0100 </w:t>
      </w:r>
      <w:r w:rsidRPr="00834D49">
        <w:rPr>
          <w:rFonts w:ascii="Times New Roman" w:eastAsia="Times New Roman" w:hAnsi="Times New Roman" w:cs="Times New Roman"/>
          <w:sz w:val="28"/>
          <w:szCs w:val="28"/>
          <w:lang w:eastAsia="ru-RU"/>
        </w:rPr>
        <w:t>"Державне управління"</w:t>
      </w:r>
    </w:p>
    <w:p w:rsidR="00FF2211" w:rsidRPr="00391602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КПКВ "Організаційне,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рад" видатки загального фонду з урахуванням змін на 201</w:t>
      </w:r>
      <w:r w:rsid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передбачено  в сумі </w:t>
      </w:r>
      <w:r w:rsidR="009E7039">
        <w:rPr>
          <w:rFonts w:ascii="Times New Roman" w:eastAsia="Times New Roman" w:hAnsi="Times New Roman" w:cs="Times New Roman"/>
          <w:sz w:val="28"/>
          <w:szCs w:val="28"/>
          <w:lang w:eastAsia="ru-RU"/>
        </w:rPr>
        <w:t>15826,5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проведені касові  видатки  в сумі </w:t>
      </w:r>
      <w:r w:rsidR="00034DF9">
        <w:rPr>
          <w:rFonts w:ascii="Times New Roman" w:eastAsia="Times New Roman" w:hAnsi="Times New Roman" w:cs="Times New Roman"/>
          <w:sz w:val="28"/>
          <w:szCs w:val="28"/>
          <w:lang w:eastAsia="ru-RU"/>
        </w:rPr>
        <w:t>15618,2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</w:t>
      </w:r>
      <w:r w:rsidR="0003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4DF9">
        <w:rPr>
          <w:rFonts w:ascii="Times New Roman" w:eastAsia="Times New Roman" w:hAnsi="Times New Roman" w:cs="Times New Roman"/>
          <w:sz w:val="28"/>
          <w:szCs w:val="28"/>
          <w:lang w:eastAsia="ru-RU"/>
        </w:rPr>
        <w:t>8,7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змін, </w:t>
      </w:r>
      <w:r w:rsidRPr="00391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тому числі: по категорії "посадові особи місцевого самоврядування" фонд оплати праці за рік склав   </w:t>
      </w:r>
      <w:r w:rsid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>10538,</w:t>
      </w:r>
      <w:r w:rsidR="00A04764"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по категорії "інший персонал" фонд оплати праці склав </w:t>
      </w:r>
      <w:r w:rsidR="00A04764"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>1077,7</w:t>
      </w:r>
      <w:r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A0476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ab/>
      </w:r>
      <w:r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Фактична зайнятість штатних одиниць за 201</w:t>
      </w:r>
      <w:r w:rsidR="00834D49"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 становить 5</w:t>
      </w:r>
      <w:r w:rsidR="00D22A02"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>,5 шт. одиниць  при  плані по  мережі,  штатах і  контингентах  установ  на 201</w:t>
      </w:r>
      <w:r w:rsidR="00D22A02"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D22A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 – 73,0  штатні одиниці.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Кредиторська  заборгованість по загальному фонду відсутня. Дебіторська заборгованість станом на 01.01.201</w:t>
      </w:r>
      <w:r w:rsidR="004139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становила </w:t>
      </w:r>
      <w:r w:rsidR="009B3C00">
        <w:rPr>
          <w:rFonts w:ascii="Times New Roman" w:eastAsia="Times New Roman" w:hAnsi="Times New Roman" w:cs="Times New Roman"/>
          <w:sz w:val="28"/>
          <w:szCs w:val="28"/>
          <w:lang w:eastAsia="ru-RU"/>
        </w:rPr>
        <w:t>7,1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(незахищені видатки по передплаті періодичних видань), станом на 01.01.20</w:t>
      </w:r>
      <w:r w:rsidR="005252F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становить –</w:t>
      </w:r>
      <w:r w:rsidR="005252F7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5C1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(незахищені видатки по передплаті періодичних видань). 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 спеціальному фонду видатки проведені на </w:t>
      </w:r>
      <w:r w:rsidR="005232E6">
        <w:rPr>
          <w:rFonts w:ascii="Times New Roman" w:eastAsia="Times New Roman" w:hAnsi="Times New Roman" w:cs="Times New Roman"/>
          <w:sz w:val="28"/>
          <w:szCs w:val="28"/>
          <w:lang w:eastAsia="ru-RU"/>
        </w:rPr>
        <w:t>57,1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52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придбання обладнання і предметів довгострокового користування.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Дебіторська та кредиторська заборгованість по спеціальному фонду  відсутня.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сільських </w:t>
      </w:r>
      <w:r w:rsidR="009210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бюджетів та бюджету </w:t>
      </w:r>
      <w:proofErr w:type="spellStart"/>
      <w:r w:rsidR="0093140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Ганнівської</w:t>
      </w:r>
      <w:proofErr w:type="spellEnd"/>
      <w:r w:rsidR="009314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10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ОТГ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бюджету</w:t>
      </w:r>
      <w:r w:rsidR="009210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громади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надійшло трансфертів загального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використано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утримання трудового архіву у сумі </w:t>
      </w:r>
      <w:r w:rsidR="00921060">
        <w:rPr>
          <w:rFonts w:ascii="Times New Roman" w:eastAsia="Times New Roman" w:hAnsi="Times New Roman" w:cs="Times New Roman"/>
          <w:sz w:val="28"/>
          <w:szCs w:val="28"/>
          <w:lang w:eastAsia="ar-SA"/>
        </w:rPr>
        <w:t>208,4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КПКВ "Інша діяльність у сфері державного управління" видатки загального фонду з урахуванням змін на 201</w:t>
      </w:r>
      <w:r w:rsidR="006D32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передбачено  </w:t>
      </w:r>
      <w:r w:rsidR="00A62E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D3276">
        <w:rPr>
          <w:rFonts w:ascii="Times New Roman" w:eastAsia="Times New Roman" w:hAnsi="Times New Roman" w:cs="Times New Roman"/>
          <w:sz w:val="28"/>
          <w:szCs w:val="28"/>
          <w:lang w:eastAsia="ru-RU"/>
        </w:rPr>
        <w:t>283,6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проведені касові  видатки  в сумі </w:t>
      </w:r>
      <w:r w:rsidR="006D3276">
        <w:rPr>
          <w:rFonts w:ascii="Times New Roman" w:eastAsia="Times New Roman" w:hAnsi="Times New Roman" w:cs="Times New Roman"/>
          <w:sz w:val="28"/>
          <w:szCs w:val="28"/>
          <w:lang w:eastAsia="ru-RU"/>
        </w:rPr>
        <w:t>250,0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</w:t>
      </w:r>
      <w:r w:rsidR="006D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змін. </w:t>
      </w:r>
    </w:p>
    <w:p w:rsidR="00CB00E4" w:rsidRPr="005C152B" w:rsidRDefault="00CB00E4" w:rsidP="00CB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Кредиторська  заборгованість по загальному фонду відсутня. Дебіторська заборгованість станом на 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становила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(незахищені видатки по передплаті періодичних видань), станом на 01.01.20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заборгованість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відсутня.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211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                 КПКВ 1000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"Освіта"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бюджеті об’єднаної територіальної громади на утримання галузі </w:t>
      </w:r>
      <w:r w:rsidR="004A44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r w:rsidR="004A44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загальному фонду передбачені  видатки  з урахуванням змін  в сумі                  </w:t>
      </w:r>
      <w:r w:rsidR="00590914">
        <w:rPr>
          <w:rFonts w:ascii="Times New Roman" w:eastAsia="Times New Roman" w:hAnsi="Times New Roman" w:cs="Times New Roman"/>
          <w:sz w:val="28"/>
          <w:szCs w:val="28"/>
          <w:lang w:eastAsia="ru-RU"/>
        </w:rPr>
        <w:t>96423,4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касові видатки становлять </w:t>
      </w:r>
      <w:r w:rsidR="00590914">
        <w:rPr>
          <w:rFonts w:ascii="Times New Roman" w:eastAsia="Times New Roman" w:hAnsi="Times New Roman" w:cs="Times New Roman"/>
          <w:sz w:val="28"/>
          <w:szCs w:val="28"/>
          <w:lang w:eastAsia="ru-RU"/>
        </w:rPr>
        <w:t>92094,4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 9</w:t>
      </w:r>
      <w:r w:rsidR="00590914">
        <w:rPr>
          <w:rFonts w:ascii="Times New Roman" w:eastAsia="Times New Roman" w:hAnsi="Times New Roman" w:cs="Times New Roman"/>
          <w:sz w:val="28"/>
          <w:szCs w:val="28"/>
          <w:lang w:eastAsia="ru-RU"/>
        </w:rPr>
        <w:t>5,5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змін.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Всього видатки загального фонду на утримання дітей в дитячих дошкільних закладах складають</w:t>
      </w:r>
      <w:r w:rsidR="00051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22843,3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A62E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051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25082,7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5531F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="005531FA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55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проведення психолого-педагогічних і </w:t>
      </w:r>
      <w:proofErr w:type="spellStart"/>
      <w:r w:rsidR="005531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корекційно-розвиткових</w:t>
      </w:r>
      <w:proofErr w:type="spellEnd"/>
      <w:r w:rsidR="0055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</w:t>
      </w:r>
      <w:r w:rsidR="005531FA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використана </w:t>
      </w:r>
      <w:r w:rsidR="005531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31FA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5531FA">
        <w:rPr>
          <w:rFonts w:ascii="Times New Roman" w:eastAsia="Times New Roman" w:hAnsi="Times New Roman" w:cs="Times New Roman"/>
          <w:sz w:val="28"/>
          <w:szCs w:val="28"/>
          <w:lang w:eastAsia="ru-RU"/>
        </w:rPr>
        <w:t>52,5</w:t>
      </w:r>
      <w:r w:rsidR="005531FA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1FA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531FA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Видатки спеціального фонду становлять </w:t>
      </w:r>
      <w:r w:rsidR="00645B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1424,9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 w:rsidR="00C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1784,0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405A85" w:rsidRPr="00405A8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05A85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 на капітальні видатки використано </w:t>
      </w:r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>154,2</w:t>
      </w:r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з них</w:t>
      </w:r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85" w:rsidRPr="00282A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рахунок</w:t>
      </w:r>
      <w:r w:rsidR="00405A8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</w:t>
      </w:r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405A85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придбання спеціальних засобів корекції для дітей інклюзивних груп (придбання комплекту виробів кімнатних ігор для сенсорних кімнат) витрачено коштів у сумі 30,0 </w:t>
      </w:r>
      <w:proofErr w:type="spellStart"/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40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По загальноосвітніх школах видатки загального фонду становлять </w:t>
      </w:r>
      <w:r w:rsidR="004456B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56026,9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 w:rsidR="004456B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57309,0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субвенція </w:t>
      </w:r>
      <w:r w:rsidR="007017E0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бюджету місцевим бюджетам</w:t>
      </w:r>
      <w:r w:rsidR="00D8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оплати праці та нарахувань на </w:t>
      </w:r>
      <w:r w:rsidR="00F1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заробітну плату </w:t>
      </w:r>
      <w:r w:rsidR="00D81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 працівникам</w:t>
      </w:r>
      <w:r w:rsidR="0070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надійшла </w:t>
      </w:r>
      <w:r w:rsidR="007017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126ED6">
        <w:rPr>
          <w:rFonts w:ascii="Times New Roman" w:eastAsia="Times New Roman" w:hAnsi="Times New Roman" w:cs="Times New Roman"/>
          <w:sz w:val="28"/>
          <w:szCs w:val="28"/>
          <w:lang w:eastAsia="ru-RU"/>
        </w:rPr>
        <w:t>32538,0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використана в сумі </w:t>
      </w:r>
      <w:r w:rsidR="00126ED6">
        <w:rPr>
          <w:rFonts w:ascii="Times New Roman" w:eastAsia="Times New Roman" w:hAnsi="Times New Roman" w:cs="Times New Roman"/>
          <w:sz w:val="28"/>
          <w:szCs w:val="28"/>
          <w:lang w:eastAsia="ru-RU"/>
        </w:rPr>
        <w:t>32494,8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залишок на 01.01.20</w:t>
      </w:r>
      <w:r w:rsidR="00C94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C9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A6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94D2B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субвенція з місцевого бюджету на надання державної підтримки особам з особливими освітніми потребами за рахунок відповідної субвенції з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державного бюджету </w:t>
      </w:r>
      <w:r w:rsidR="004F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проведення психолого-педагогічних і </w:t>
      </w:r>
      <w:proofErr w:type="spellStart"/>
      <w:r w:rsidR="004F3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корекційно-розвиткових</w:t>
      </w:r>
      <w:proofErr w:type="spellEnd"/>
      <w:r w:rsidR="004F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використана </w:t>
      </w:r>
      <w:r w:rsidR="004F3D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EA59AB">
        <w:rPr>
          <w:rFonts w:ascii="Times New Roman" w:eastAsia="Times New Roman" w:hAnsi="Times New Roman" w:cs="Times New Roman"/>
          <w:sz w:val="28"/>
          <w:szCs w:val="28"/>
          <w:lang w:eastAsia="ru-RU"/>
        </w:rPr>
        <w:t>247,5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субвенція з місцевого</w:t>
      </w:r>
      <w:r w:rsidR="00D5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 </w:t>
      </w:r>
      <w:r w:rsidR="0037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придбання принтерів та ноутбуків та на відрядження для підвищення кваліфікації педагогічних працівників початкової школи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використана </w:t>
      </w:r>
      <w:r w:rsidR="000A36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 </w:t>
      </w:r>
      <w:r w:rsidR="00A6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2A03">
        <w:rPr>
          <w:rFonts w:ascii="Times New Roman" w:eastAsia="Times New Roman" w:hAnsi="Times New Roman" w:cs="Times New Roman"/>
          <w:sz w:val="28"/>
          <w:szCs w:val="28"/>
          <w:lang w:eastAsia="ru-RU"/>
        </w:rPr>
        <w:t>313,2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3F714F" w:rsidRPr="003F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14F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 з місцевого</w:t>
      </w:r>
      <w:r w:rsidR="0093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14F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на </w:t>
      </w:r>
      <w:r w:rsidR="003F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реалізацію заходів, спрямованих на підвищення якості освіти за рахунок відповідної субвенції з державного бюджету </w:t>
      </w:r>
      <w:r w:rsidR="00E1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послуги з доступу до </w:t>
      </w:r>
      <w:proofErr w:type="spellStart"/>
      <w:r w:rsidR="00E110F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інтернету</w:t>
      </w:r>
      <w:proofErr w:type="spellEnd"/>
      <w:r w:rsidR="00E1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закладів загальної середньої освіти </w:t>
      </w:r>
      <w:r w:rsidR="003F714F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використана в сумі </w:t>
      </w:r>
      <w:r w:rsidR="003F714F">
        <w:rPr>
          <w:rFonts w:ascii="Times New Roman" w:eastAsia="Times New Roman" w:hAnsi="Times New Roman" w:cs="Times New Roman"/>
          <w:sz w:val="28"/>
          <w:szCs w:val="28"/>
          <w:lang w:eastAsia="ru-RU"/>
        </w:rPr>
        <w:t>298,3</w:t>
      </w:r>
      <w:r w:rsidR="003F714F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714F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3F714F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крім того, дотація</w:t>
      </w:r>
      <w:r w:rsidR="00AD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здійснення переданих з державного бюджету видатків з утримання закладів освіти за рахунок відповідної додаткової дотації з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бюджету надійшла та використана у сумі </w:t>
      </w:r>
      <w:r w:rsidR="0008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6467,8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384" w:rsidRPr="00D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за рахунок </w:t>
      </w:r>
      <w:r w:rsidR="001C35F2" w:rsidRPr="00D207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35F2" w:rsidRPr="00D207B9">
        <w:rPr>
          <w:rFonts w:ascii="Times New Roman" w:hAnsi="Times New Roman" w:cs="Times New Roman"/>
          <w:sz w:val="28"/>
          <w:szCs w:val="28"/>
        </w:rPr>
        <w:t>убвенції з місцевого бюджету за рахунок залишку коштів освітньої субвенції, що утворився на початок бюджетного періоду</w:t>
      </w:r>
      <w:r w:rsidR="00EE63E4" w:rsidRPr="00D207B9">
        <w:rPr>
          <w:rFonts w:ascii="Times New Roman" w:hAnsi="Times New Roman" w:cs="Times New Roman"/>
          <w:sz w:val="28"/>
          <w:szCs w:val="28"/>
        </w:rPr>
        <w:t xml:space="preserve"> </w:t>
      </w:r>
      <w:r w:rsidR="00A45D0D" w:rsidRPr="00D207B9">
        <w:rPr>
          <w:rFonts w:ascii="Times New Roman" w:hAnsi="Times New Roman" w:cs="Times New Roman"/>
          <w:sz w:val="28"/>
          <w:szCs w:val="28"/>
        </w:rPr>
        <w:t xml:space="preserve">видатки загального фонду склали 172,1 </w:t>
      </w:r>
      <w:proofErr w:type="spellStart"/>
      <w:r w:rsidR="00A45D0D" w:rsidRPr="00D207B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45D0D" w:rsidRPr="00D207B9">
        <w:rPr>
          <w:rFonts w:ascii="Times New Roman" w:hAnsi="Times New Roman" w:cs="Times New Roman"/>
          <w:sz w:val="28"/>
          <w:szCs w:val="28"/>
        </w:rPr>
        <w:t>.</w:t>
      </w:r>
      <w:r w:rsidR="009E3D5E" w:rsidRPr="00D207B9">
        <w:rPr>
          <w:rFonts w:ascii="Times New Roman" w:hAnsi="Times New Roman" w:cs="Times New Roman"/>
          <w:sz w:val="28"/>
          <w:szCs w:val="28"/>
        </w:rPr>
        <w:t>,</w:t>
      </w:r>
      <w:r w:rsidR="009E3D5E">
        <w:rPr>
          <w:rFonts w:ascii="Times New Roman" w:hAnsi="Times New Roman" w:cs="Times New Roman"/>
          <w:sz w:val="28"/>
          <w:szCs w:val="28"/>
        </w:rPr>
        <w:t xml:space="preserve"> які витрачені</w:t>
      </w:r>
      <w:r w:rsidR="00EE63E4">
        <w:rPr>
          <w:rFonts w:ascii="Times New Roman" w:hAnsi="Times New Roman" w:cs="Times New Roman"/>
          <w:sz w:val="28"/>
          <w:szCs w:val="28"/>
        </w:rPr>
        <w:t xml:space="preserve"> на придбання обладнання, предметів конструкції для встановлення або заміни у </w:t>
      </w:r>
      <w:proofErr w:type="spellStart"/>
      <w:r w:rsidR="00EE63E4">
        <w:rPr>
          <w:rFonts w:ascii="Times New Roman" w:hAnsi="Times New Roman" w:cs="Times New Roman"/>
          <w:sz w:val="28"/>
          <w:szCs w:val="28"/>
        </w:rPr>
        <w:t>санузлах</w:t>
      </w:r>
      <w:proofErr w:type="spellEnd"/>
      <w:r w:rsidR="004A569D">
        <w:rPr>
          <w:rFonts w:ascii="Times New Roman" w:hAnsi="Times New Roman" w:cs="Times New Roman"/>
          <w:sz w:val="28"/>
          <w:szCs w:val="28"/>
        </w:rPr>
        <w:t>.</w:t>
      </w:r>
    </w:p>
    <w:p w:rsidR="00FF2211" w:rsidRPr="005C152B" w:rsidRDefault="00FF2211" w:rsidP="00FF2211">
      <w:pPr>
        <w:tabs>
          <w:tab w:val="left" w:pos="709"/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Видатки спеціального фонду становлять </w:t>
      </w:r>
      <w:r w:rsidR="00A91E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3203,7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0A46B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3256,3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3C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 на капітальні видатки використано </w:t>
      </w:r>
      <w:r w:rsidR="00D63C35">
        <w:rPr>
          <w:rFonts w:ascii="Times New Roman" w:eastAsia="Times New Roman" w:hAnsi="Times New Roman" w:cs="Times New Roman"/>
          <w:sz w:val="28"/>
          <w:szCs w:val="28"/>
          <w:lang w:eastAsia="ru-RU"/>
        </w:rPr>
        <w:t>2271,5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з них</w:t>
      </w:r>
      <w:r w:rsidR="002929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субвенції з місцевого бюджету на забезпечення якісної, сучасної та доступної загальної середньої освіти "Нова українська школа"</w:t>
      </w:r>
      <w:r w:rsidR="00D34268" w:rsidRPr="00D34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268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відповідної субвенції з державного бюджету</w:t>
      </w:r>
      <w:r w:rsidR="0029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придбано принтери та ноутбуки на суму 126,2 </w:t>
      </w:r>
      <w:proofErr w:type="spellStart"/>
      <w:r w:rsidR="002929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9292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315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A29" w:rsidRPr="00282A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рахунок</w:t>
      </w:r>
      <w:r w:rsidR="00282A2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282A29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</w:t>
      </w:r>
      <w:r w:rsidR="00EB2802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282A29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="00EB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A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спеціальних засобів корекції для учнів інклюзивних класів (придбання комплекту виробів кімнатних ігор для сенсорних кімнат)</w:t>
      </w:r>
      <w:r w:rsidR="00B7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витрачено коштів у сумі 99,4 </w:t>
      </w:r>
      <w:proofErr w:type="spellStart"/>
      <w:r w:rsidR="00B73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B7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0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рахунок</w:t>
      </w:r>
      <w:r w:rsidR="00EB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</w:t>
      </w:r>
      <w:r w:rsidR="002A0E9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</w:t>
      </w:r>
      <w:r w:rsidR="0008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на </w:t>
      </w:r>
      <w:r w:rsidR="0008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реалізацію заходів, спрямованих на підвищення якості освіти за рахунок відповідної субвенції з державного бюджету на </w:t>
      </w:r>
      <w:r w:rsidR="002A0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персональних </w:t>
      </w:r>
      <w:proofErr w:type="spellStart"/>
      <w:r w:rsidR="002A0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</w:t>
      </w:r>
      <w:proofErr w:type="spellEnd"/>
      <w:r w:rsidR="002A0E9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2A0E9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ютерів</w:t>
      </w:r>
      <w:proofErr w:type="spellEnd"/>
      <w:r w:rsidR="0008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</w:t>
      </w:r>
      <w:r w:rsid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65C62">
        <w:rPr>
          <w:rFonts w:ascii="Times New Roman" w:eastAsia="Times New Roman" w:hAnsi="Times New Roman" w:cs="Times New Roman"/>
          <w:sz w:val="28"/>
          <w:szCs w:val="28"/>
          <w:lang w:eastAsia="ru-RU"/>
        </w:rPr>
        <w:t>121,8</w:t>
      </w:r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85E2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Видатки загального фонду на утримання позашкільних закладів </w:t>
      </w:r>
      <w:r w:rsidR="003D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освіти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становлять </w:t>
      </w:r>
      <w:r w:rsidR="003D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3993,9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</w:t>
      </w:r>
      <w:r w:rsidR="003D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ис.грн</w:t>
      </w:r>
      <w:proofErr w:type="spellEnd"/>
      <w:r w:rsidR="003D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при уточненому плані  4442,2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спеціального фонду -  </w:t>
      </w:r>
      <w:r w:rsidR="00704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23,7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704C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громаді функціонує 1 дитяча музична школа, головним розпорядником </w:t>
      </w:r>
      <w:r w:rsidR="00CC3B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коштів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якої є відділ культури і туризму. Всього видатки на її утримання становлять </w:t>
      </w:r>
      <w:r w:rsidR="000F38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3061,7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.: за рахунок загального фонду – </w:t>
      </w:r>
      <w:r w:rsidR="000F38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2894,7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за рахунок спеціального фонду – </w:t>
      </w:r>
      <w:r w:rsidR="000F38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167,0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0065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методичній роботі  видатки загального фонду становлять  9</w:t>
      </w:r>
      <w:r w:rsidR="00265F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92,6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при уточненому плані 1</w:t>
      </w:r>
      <w:r w:rsidR="00C041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089,9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"Забезпечення діяльності інших закладів у сфері освіти" видатки загального фонду становлять </w:t>
      </w:r>
      <w:r w:rsidR="00447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4543,6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A62E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447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735,8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тис. грн. Видатки спеціального фонду становлять </w:t>
      </w:r>
      <w:r w:rsidR="00447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503,7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4477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542,1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тис.грн.</w:t>
      </w:r>
    </w:p>
    <w:p w:rsidR="00542D5F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"Інші програми та заходи у сфері освіти" видатки загального фонду становлять </w:t>
      </w:r>
      <w:r w:rsidR="00FA35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330,4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FA35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356,3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Видатки спеціального фонду становлять </w:t>
      </w:r>
      <w:r w:rsidR="00FA35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148,5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 w:rsidR="00A62E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FA350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148,5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за рахунок коштів субвенції з місцевого (обласного) бюджету за рахунок залишку коштів освітньої субвенції, що утворився на початок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періоду</w:t>
      </w:r>
      <w:r w:rsidR="00FA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придбання обладнання для кабінетів географії та математики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сумі </w:t>
      </w:r>
      <w:r w:rsidR="00FA350F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2D5F" w:rsidRPr="00542D5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2211" w:rsidRPr="005C152B" w:rsidRDefault="003577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идатки загального фонду на </w:t>
      </w:r>
      <w:r w:rsidR="00E6053C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забезпечення діяльності інклюзивно-ресурсн</w:t>
      </w:r>
      <w:r w:rsidR="003A32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ого</w:t>
      </w:r>
      <w:r w:rsidR="00E6053C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центр</w:t>
      </w:r>
      <w:r w:rsidR="003A32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="00651D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складають </w:t>
      </w:r>
      <w:r w:rsidR="00651D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469,1 </w:t>
      </w:r>
      <w:proofErr w:type="spellStart"/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651D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500,7</w:t>
      </w:r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F0E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 тому числі за рахунок</w:t>
      </w:r>
      <w:r w:rsidR="00542D5F" w:rsidRPr="00E60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F0E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="00542D5F" w:rsidRPr="00E6053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 w:rsidR="009F0EF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542D5F" w:rsidRPr="00E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</w:t>
      </w:r>
      <w:r w:rsidR="007E0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 переданих видатків у сфері освіти за</w:t>
      </w:r>
      <w:r w:rsidR="00542D5F" w:rsidRPr="00E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рахунок </w:t>
      </w:r>
      <w:r w:rsidR="007E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освітньої субвенції на </w:t>
      </w:r>
      <w:r w:rsidR="00CA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праці з нарахуваннями на заробітну плату педагогічним працівникам </w:t>
      </w:r>
      <w:r w:rsidR="0025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видатків на суму </w:t>
      </w:r>
      <w:r w:rsidR="007E0161">
        <w:rPr>
          <w:rFonts w:ascii="Times New Roman" w:eastAsia="Times New Roman" w:hAnsi="Times New Roman" w:cs="Times New Roman"/>
          <w:sz w:val="28"/>
          <w:szCs w:val="28"/>
          <w:lang w:eastAsia="ru-RU"/>
        </w:rPr>
        <w:t>408,6</w:t>
      </w:r>
      <w:r w:rsidR="00542D5F" w:rsidRPr="00E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2D5F" w:rsidRPr="00E605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42D5F" w:rsidRPr="00E60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211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галузі "Освіта" 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кредиторська заборгованість по загальному та спеціальному фондах відсутня.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Дебіторська заборгованість по  загальному фонду станом на 01.01.20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>97,3</w:t>
      </w:r>
      <w:r w:rsidR="00A51180" w:rsidRPr="005C1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(незахищені видатки по передплаті періодичних видань)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ебіторська заборгованість по 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фонду 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року </w:t>
      </w:r>
      <w:r w:rsidR="00FB52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>126,3</w:t>
      </w:r>
      <w:r w:rsidR="00A51180" w:rsidRPr="005C1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A5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попередня </w:t>
      </w:r>
      <w:r w:rsidR="00A51180" w:rsidRPr="001F1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батьківська плата</w:t>
      </w:r>
      <w:r w:rsidR="00A5118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5271" w:rsidRPr="005C152B" w:rsidRDefault="00FB527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</w:p>
    <w:p w:rsidR="00FF2211" w:rsidRPr="005C152B" w:rsidRDefault="00FF2211" w:rsidP="00FF221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5C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КПКВ 3000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"Соціальний захист та соціальне забезпечення"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 по соціальному захисту та соціальному забезпеченню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 звітний рік по загальному фонду становлять </w:t>
      </w:r>
      <w:r w:rsidR="00006F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5454,9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 уточненому плані </w:t>
      </w:r>
      <w:r w:rsidR="00A62E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06F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5649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,0 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по спеціальному фонду видатки становлять </w:t>
      </w:r>
      <w:r w:rsidR="00006F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312,2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  </w:t>
      </w:r>
      <w:r w:rsidR="00006F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332,7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  <w:t xml:space="preserve"> </w:t>
      </w:r>
    </w:p>
    <w:p w:rsidR="002D168E" w:rsidRDefault="002D168E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з</w:t>
      </w:r>
      <w:r w:rsidRPr="002D16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 громаді на початку 2019 року було створено </w:t>
      </w:r>
      <w:r w:rsidR="00C41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центр соціальних послуг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міської ради Кіровоградської області</w:t>
      </w:r>
      <w:r w:rsidR="002B47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видатки </w:t>
      </w:r>
      <w:r w:rsidR="00526B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загального фонду </w:t>
      </w:r>
      <w:r w:rsidR="002B47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яко</w:t>
      </w:r>
      <w:r w:rsidR="00717D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="002B47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склали </w:t>
      </w:r>
      <w:r w:rsidR="00526B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3749,8 </w:t>
      </w:r>
      <w:proofErr w:type="spellStart"/>
      <w:r w:rsidR="00526B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526B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F14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 уточненому плані</w:t>
      </w:r>
      <w:r w:rsidR="000719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3818,9 </w:t>
      </w:r>
      <w:proofErr w:type="spellStart"/>
      <w:r w:rsidR="000719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0719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5C434E" w:rsidRPr="005C43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C43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спеціальному фонду видатки становлять </w:t>
      </w:r>
      <w:r w:rsidR="005C43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190,8</w:t>
      </w:r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  </w:t>
      </w:r>
      <w:r w:rsidR="005C43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211,2</w:t>
      </w:r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5C434E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DB7970" w:rsidRPr="00DB79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B7970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DB797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9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B797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 на капітальні видатки використано </w:t>
      </w:r>
      <w:r w:rsidR="00DB7970">
        <w:rPr>
          <w:rFonts w:ascii="Times New Roman" w:eastAsia="Times New Roman" w:hAnsi="Times New Roman" w:cs="Times New Roman"/>
          <w:sz w:val="28"/>
          <w:szCs w:val="28"/>
          <w:lang w:eastAsia="ru-RU"/>
        </w:rPr>
        <w:t>92,6</w:t>
      </w:r>
      <w:r w:rsidR="00DB797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7970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B7970" w:rsidRP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</w:t>
      </w:r>
      <w:r w:rsidR="004142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придбано </w:t>
      </w:r>
      <w:proofErr w:type="spellStart"/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</w:t>
      </w:r>
      <w:proofErr w:type="spellEnd"/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ютерну</w:t>
      </w:r>
      <w:proofErr w:type="spellEnd"/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техніку на суму 72,7 </w:t>
      </w:r>
      <w:proofErr w:type="spellStart"/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34A3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</w:t>
      </w:r>
      <w:r w:rsid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рамках проекту "Влада і громада – разом" для відвідувачів Центру у спортивний зал було придбано кондиціонер та тренажери на суму 19,9 </w:t>
      </w:r>
      <w:proofErr w:type="spellStart"/>
      <w:r w:rsid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064" w:rsidRPr="00DA5922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КПКВ 3112 "Заходи державної політики з питань дітей та їх соціального захисту" по загальному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фонду при уточненому плані 21,8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 видатки  склали 20,1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FC11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 На використані кошти було проведено 2 заходи: до Дня захисту дітей  було  придбано подарунків  15 дітям  на суму 6,5 </w:t>
      </w:r>
      <w:proofErr w:type="spellStart"/>
      <w:r w:rsidRPr="00FC11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FC11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та до Дня Святого Миколая придбано подарунки  155 дітям на  суму 13,6 </w:t>
      </w:r>
      <w:proofErr w:type="spellStart"/>
      <w:r w:rsidRPr="00FC11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FC11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</w:t>
      </w:r>
    </w:p>
    <w:p w:rsidR="00D07064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A6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A6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тримання  та  забезпечення  діяльності  центр</w:t>
      </w:r>
      <w:r w:rsidR="00FA6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соціальних служб для сім`ї, дітей та молоді по загальному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фонду при уточненому плані 553,4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 видатки  склали 503,2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FA6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Фактична чисельність на кінець року склала </w:t>
      </w:r>
      <w:r w:rsidR="00553F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шт.од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D07064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3133 " Інші  заходи та  заклади молодіжної політики" при  уточненому  плані 20,0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</w:t>
      </w:r>
      <w:r w:rsidR="002B39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видатки склали 16,9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Дані  кошти  були  задіяні на  такі  заходи  як Етно</w:t>
      </w:r>
      <w:r w:rsidR="002B39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="002B39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кемпінг "Розвиток громадян починається  з  родини -1,4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</w:t>
      </w:r>
      <w:r w:rsidR="002B39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</w:t>
      </w:r>
      <w:r w:rsidR="002B39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дитячі велоперегони "Ту-ту-сі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рейсінг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" – 1,8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</w:t>
      </w:r>
      <w:r w:rsidR="00C37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</w:t>
      </w:r>
      <w:r w:rsidR="00C37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заходи  до  Всесвітнього Дня  захисту  дітей </w:t>
      </w:r>
      <w:r w:rsidR="00C37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1,7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C37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 до  Дня  молоді  -</w:t>
      </w:r>
      <w:r w:rsidR="00C37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00E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12,0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</w:t>
      </w:r>
      <w:r w:rsidR="00C370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..</w:t>
      </w:r>
    </w:p>
    <w:p w:rsidR="00D07064" w:rsidRPr="00DA5922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КПКВ 3140 "Оздоровлення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офи)"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уточненому плані 335,5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видатк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 склали 335,3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на придбання   </w:t>
      </w:r>
      <w:r w:rsidR="00BB5F9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50 путівок для оздоровлення 50 дітей,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середня вартість 1 путівки – 7,1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866E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07064" w:rsidRPr="00DA5922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КПКВ 3191 "Інші видатки на соціальний захист ветеранів війни та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аці" при уточненому плані 41,0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видатки  склали 40,0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</w:t>
      </w:r>
      <w:r w:rsidR="008D55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 саме: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здійснення виплат  стипендії 12  ветеранам війни , </w:t>
      </w:r>
      <w:r w:rsidR="008D55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 них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11</w:t>
      </w:r>
      <w:r w:rsidR="008D55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ветеранам  війни (учасникам програми "Зірка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пам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"яті"), яким виповнилося 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років 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щомісячно по </w:t>
      </w:r>
      <w:r w:rsidR="008D55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8D55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8D55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протягом 2019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кожному  та  одному  ветерану  війни  до  </w:t>
      </w:r>
      <w:r w:rsidR="004B6D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90  років  у  сумі  1</w:t>
      </w:r>
      <w:r w:rsidR="00544B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544B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44B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на протязі року, 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ередньому місячний  розмір виплат складає 277,78 грн., враховуючи  банківські  послуги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07064" w:rsidRPr="00DA5922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КПКВ 3210 "Організація проведення громадських  робіт" по загаль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ному фонду видатки  склали 192,1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 уточненому  плані 201,2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по спеціальному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фонду видатки  становлять 106,5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при уточненому плані   106,5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D07064" w:rsidRPr="00DA5922" w:rsidRDefault="00D07064" w:rsidP="00D0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3242 "Інші заходи у сфері  соціального захисту і  соціального  забезпечення" при уточненому плані 657,0 </w:t>
      </w:r>
      <w:proofErr w:type="spellStart"/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</w:t>
      </w:r>
      <w:r w:rsidR="003918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</w:t>
      </w:r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рн</w:t>
      </w:r>
      <w:proofErr w:type="spellEnd"/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918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видатки  склали 597,6</w:t>
      </w:r>
      <w:r w:rsidR="003918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8141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</w:t>
      </w:r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них: одноразова матеріальна допомога 14  учасникам АТО та членам їх сімей на суму 44,0 </w:t>
      </w:r>
      <w:proofErr w:type="spellStart"/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одноразова матеріальна допомога  4 дітям загиблих учасників АТО в сумі 8,0 </w:t>
      </w:r>
      <w:proofErr w:type="spellStart"/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допомога на поховання родичам </w:t>
      </w:r>
      <w:r w:rsidR="0039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померлих - в сумі 72,0  </w:t>
      </w:r>
      <w:proofErr w:type="spellStart"/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1417C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допомога на лікування</w:t>
      </w:r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вирішення нагальних матеріально-п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обутових питань 236 </w:t>
      </w:r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громадянам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468,6 </w:t>
      </w:r>
      <w:proofErr w:type="spellStart"/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щомісячна доплата до пенсії депутатам </w:t>
      </w:r>
      <w:proofErr w:type="spellStart"/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Новоукраїнської</w:t>
      </w:r>
      <w:proofErr w:type="spellEnd"/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чот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ирьох і більше скликань </w:t>
      </w:r>
      <w:r w:rsidR="007F2B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5,0</w:t>
      </w:r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39181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D07064" w:rsidRPr="00DA5922" w:rsidRDefault="00D07064" w:rsidP="00D070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Заборгованість по КПКВ "</w:t>
      </w:r>
      <w:r w:rsidRPr="00DA5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захист та соціальне забезпечення</w:t>
      </w:r>
      <w:r w:rsidRPr="00DA59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 на початок та на кінець року по загальному та по спеціальному фондах відсутня.</w:t>
      </w:r>
    </w:p>
    <w:p w:rsidR="00B30641" w:rsidRDefault="00B3064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КПКВ 4000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 Культура і мистецтво"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Видатки по галузі "Культура і мистецтво" за 201</w:t>
      </w:r>
      <w:r w:rsidR="00A545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рік по загальному фонду становлять </w:t>
      </w:r>
      <w:r w:rsidR="00A545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4958,0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B357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5073,3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видатки спеціального фонду – </w:t>
      </w:r>
      <w:r w:rsidR="00227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609,9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227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662,3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громаді функціонує 1 центральна бібліотека та 7 філій . Видатки на їх утримання по загальному фонду становлять </w:t>
      </w:r>
      <w:r w:rsidR="00AC19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2391,4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AC19E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2464,1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 видатки спеціального фонду </w:t>
      </w:r>
      <w:r w:rsidR="006B22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поповнення бібліотечного фонду склали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B22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222,6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B2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громаді функціонує 1 будинок культури та 3 філії. Видатки на їх утримання  становлять по загальному фонду  </w:t>
      </w:r>
      <w:r w:rsidR="00691B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2041,4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691B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2072,7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видатки спеціального фонду – </w:t>
      </w:r>
      <w:r w:rsidR="00691B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387,4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691B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422,4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506A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506A88" w:rsidRP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тому числі на капітальний</w:t>
      </w:r>
      <w:r w:rsidR="00506A88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Новоукраїнського</w:t>
      </w:r>
      <w:proofErr w:type="spellEnd"/>
      <w:r w:rsid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КБК №1 </w:t>
      </w:r>
      <w:r w:rsidR="00506A88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використано </w:t>
      </w:r>
      <w:r w:rsid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>373,3</w:t>
      </w:r>
      <w:r w:rsidR="00506A88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6A88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06A88" w:rsidRP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"Забезпечення діяльності інших закладів в галузі культури і мистецтва" відображені видатки по апарату відділу культури. Видатки  загального фонду склали </w:t>
      </w:r>
      <w:r w:rsidR="000A4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484,0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0A4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490,5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КПКВ "</w:t>
      </w:r>
      <w:r w:rsidRPr="005C152B">
        <w:rPr>
          <w:rFonts w:ascii="Times New Roman" w:hAnsi="Times New Roman" w:cs="Times New Roman"/>
          <w:sz w:val="28"/>
          <w:szCs w:val="28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Інші заходи в галузі культури і мистецтва" відображені видатки щодо фінансової підтримки музичних та художніх колективів у проведенні культурних та мистецьких заходів та участі у фестивалях та конкурсах. Видатки  загального фонду склали </w:t>
      </w:r>
      <w:r w:rsidR="00924B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41,3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924B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45,9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галузі "Культура і мистецтво" станом на початок та кінець 201</w:t>
      </w:r>
      <w:r w:rsidR="002F44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року д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ебіторська та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кредиторська заборгованість по загальному та спеціальному фондах відсутня.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  <w:t xml:space="preserve">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КПКВ 5000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"Фізична культура і спорт"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Видатки на фізичну культуру і спорт за 201</w:t>
      </w:r>
      <w:r w:rsidR="008F428F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 по загальному фонду становлять </w:t>
      </w:r>
      <w:r w:rsidR="00770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2804,1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уточненому плані </w:t>
      </w:r>
      <w:r w:rsidR="00770481">
        <w:rPr>
          <w:rFonts w:ascii="Times New Roman" w:eastAsia="Times New Roman" w:hAnsi="Times New Roman" w:cs="Times New Roman"/>
          <w:sz w:val="28"/>
          <w:szCs w:val="28"/>
          <w:lang w:eastAsia="ar-SA"/>
        </w:rPr>
        <w:t>3268,8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утримання дитячо-юнацької спортивної школи передбачено кошти </w:t>
      </w:r>
      <w:r w:rsidR="0054463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загальному фонду 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сумі </w:t>
      </w:r>
      <w:r w:rsidR="00832601">
        <w:rPr>
          <w:rFonts w:ascii="Times New Roman" w:eastAsia="Times New Roman" w:hAnsi="Times New Roman" w:cs="Times New Roman"/>
          <w:sz w:val="28"/>
          <w:szCs w:val="28"/>
          <w:lang w:eastAsia="ar-SA"/>
        </w:rPr>
        <w:t>2803,8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використано </w:t>
      </w:r>
      <w:r w:rsidR="00544634">
        <w:rPr>
          <w:rFonts w:ascii="Times New Roman" w:eastAsia="Times New Roman" w:hAnsi="Times New Roman" w:cs="Times New Roman"/>
          <w:sz w:val="28"/>
          <w:szCs w:val="28"/>
          <w:lang w:eastAsia="ar-SA"/>
        </w:rPr>
        <w:t>2362,5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 грн.</w:t>
      </w:r>
      <w:r w:rsidR="005446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2211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З сільських бюджетів до бюджету</w:t>
      </w:r>
      <w:r w:rsidR="00111B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громади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надійшло трансфертів загального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використано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співфінансування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дитячо-юнацької спортивної школи у сумі </w:t>
      </w:r>
      <w:r w:rsidR="00111B69">
        <w:rPr>
          <w:rFonts w:ascii="Times New Roman" w:eastAsia="Times New Roman" w:hAnsi="Times New Roman" w:cs="Times New Roman"/>
          <w:sz w:val="28"/>
          <w:szCs w:val="28"/>
          <w:lang w:eastAsia="ar-SA"/>
        </w:rPr>
        <w:t>164,1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заходи по фізичній культурі і спорту передбачались видатки </w:t>
      </w:r>
      <w:r w:rsidR="00C26A00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сумі </w:t>
      </w:r>
      <w:r w:rsidR="007F2B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676C8B">
        <w:rPr>
          <w:rFonts w:ascii="Times New Roman" w:eastAsia="Times New Roman" w:hAnsi="Times New Roman" w:cs="Times New Roman"/>
          <w:sz w:val="28"/>
          <w:szCs w:val="28"/>
          <w:lang w:eastAsia="ar-SA"/>
        </w:rPr>
        <w:t>465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,0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фактично видатки склали </w:t>
      </w:r>
      <w:r w:rsidR="00676C8B">
        <w:rPr>
          <w:rFonts w:ascii="Times New Roman" w:eastAsia="Times New Roman" w:hAnsi="Times New Roman" w:cs="Times New Roman"/>
          <w:sz w:val="28"/>
          <w:szCs w:val="28"/>
          <w:lang w:eastAsia="ar-SA"/>
        </w:rPr>
        <w:t>441,6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галузі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"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Фізична культура і спорт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" 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станом 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початок 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та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кінець 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4F597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дебіторська та кредиторська заборгованість 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загальному </w:t>
      </w:r>
      <w:r w:rsidRPr="005C152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та спеціальному фондах відсутня.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КПКВ 6000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"Житлово-комунальне господарство"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Видатки на житлово-комунальне господарство передбачені в бюджеті по загальному фонду в сумі </w:t>
      </w:r>
      <w:r w:rsidR="008C3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5954,5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проведені касові видатки на суму </w:t>
      </w:r>
      <w:r w:rsidR="002A60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8C3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5687,1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виконано на </w:t>
      </w:r>
      <w:r w:rsidR="00DE09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95,5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%; видатки спеціального фонду склали </w:t>
      </w:r>
      <w:r w:rsidR="002A60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F16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4860,8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</w:t>
      </w:r>
      <w:r w:rsidR="009F16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4865,7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.(</w:t>
      </w:r>
      <w:r w:rsidR="009F16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99,9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%).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FF2211" w:rsidRPr="00787F06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2C6BE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идатки загального фонду по забезпеченню </w:t>
      </w:r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діяльності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водопровідно-каналізаційного господарства становлять </w:t>
      </w:r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315,1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– </w:t>
      </w:r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324,5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або </w:t>
      </w:r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97,1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% до планових призначень з урахуванням змін. Видатки спеціального фонду склали </w:t>
      </w:r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123,8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</w:t>
      </w:r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 w:rsidR="00180FB0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2C6BEE"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 тому числі на придбання електрообладнання та обладнання для водопостачання та водовідведення.</w:t>
      </w:r>
      <w:r w:rsidRPr="002C6B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A97841" w:rsidRPr="006C65A1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Для забезпечення збору та вивезення сміття і відходів заплановано видатків по загальному фонду у сумі </w:t>
      </w:r>
      <w:r w:rsidR="00EA41BB"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1592,2</w:t>
      </w:r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використано – </w:t>
      </w:r>
      <w:r w:rsidR="00EA41BB"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1542,9</w:t>
      </w:r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</w:t>
      </w:r>
      <w:r w:rsidR="00EA41BB"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96,9</w:t>
      </w:r>
      <w:r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  <w:r w:rsidR="000A2F23"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Видатки спеціального фонду склали 2530,1 </w:t>
      </w:r>
      <w:proofErr w:type="spellStart"/>
      <w:r w:rsidR="000A2F23"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0A2F23" w:rsidRPr="001561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E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97841" w:rsidRPr="006C6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Завдяки співпраці </w:t>
      </w:r>
      <w:r w:rsidR="00A97841" w:rsidRPr="006C65A1">
        <w:rPr>
          <w:rFonts w:ascii="Times New Roman" w:hAnsi="Times New Roman"/>
          <w:sz w:val="28"/>
          <w:szCs w:val="28"/>
        </w:rPr>
        <w:t>громади з проектом DOBRE р</w:t>
      </w:r>
      <w:r w:rsidR="00A97841" w:rsidRPr="006C65A1">
        <w:rPr>
          <w:rFonts w:ascii="Times New Roman" w:hAnsi="Times New Roman"/>
          <w:kern w:val="2"/>
          <w:sz w:val="28"/>
          <w:szCs w:val="28"/>
          <w:lang w:eastAsia="ar-SA"/>
        </w:rPr>
        <w:t xml:space="preserve">еалізовано проект </w:t>
      </w:r>
      <w:r w:rsidR="00A97841" w:rsidRPr="006C65A1">
        <w:rPr>
          <w:rFonts w:ascii="Times New Roman" w:hAnsi="Times New Roman"/>
          <w:sz w:val="28"/>
          <w:szCs w:val="28"/>
        </w:rPr>
        <w:t xml:space="preserve">"Вдосконалення системи вивезення ТПВ від багатоповерхових будинків із запровадженням роздільного збору сміття", за кошти програми придбано сміттєвоз вартістю 1819,2 </w:t>
      </w:r>
      <w:proofErr w:type="spellStart"/>
      <w:r w:rsidR="00A97841" w:rsidRPr="006C65A1">
        <w:rPr>
          <w:rFonts w:ascii="Times New Roman" w:hAnsi="Times New Roman"/>
          <w:sz w:val="28"/>
          <w:szCs w:val="28"/>
        </w:rPr>
        <w:t>тис.грн</w:t>
      </w:r>
      <w:proofErr w:type="spellEnd"/>
      <w:r w:rsidR="00A97841" w:rsidRPr="006C65A1">
        <w:rPr>
          <w:rFonts w:ascii="Times New Roman" w:hAnsi="Times New Roman"/>
          <w:sz w:val="28"/>
          <w:szCs w:val="28"/>
        </w:rPr>
        <w:t>.</w:t>
      </w:r>
      <w:r w:rsidR="00E56B12" w:rsidRPr="006C65A1">
        <w:rPr>
          <w:rFonts w:ascii="Times New Roman" w:hAnsi="Times New Roman"/>
          <w:sz w:val="28"/>
          <w:szCs w:val="28"/>
        </w:rPr>
        <w:t xml:space="preserve"> та за сприяння об"єднання сільгоспвиробників і підприємців придбано навісне обладнання  до сміттєвоза для прочищення доріг від снігу</w:t>
      </w:r>
      <w:r w:rsidR="00983423" w:rsidRPr="006C65A1">
        <w:rPr>
          <w:rFonts w:ascii="Times New Roman" w:hAnsi="Times New Roman"/>
          <w:sz w:val="28"/>
          <w:szCs w:val="28"/>
        </w:rPr>
        <w:t>. Також</w:t>
      </w:r>
      <w:r w:rsidR="00A97841" w:rsidRPr="006C65A1">
        <w:rPr>
          <w:rFonts w:ascii="Times New Roman" w:hAnsi="Times New Roman"/>
          <w:sz w:val="28"/>
          <w:szCs w:val="28"/>
        </w:rPr>
        <w:t>, за рахунок коштів бюджету</w:t>
      </w:r>
      <w:r w:rsidR="00983423" w:rsidRPr="006C65A1">
        <w:rPr>
          <w:rFonts w:ascii="Times New Roman" w:hAnsi="Times New Roman"/>
          <w:sz w:val="28"/>
          <w:szCs w:val="28"/>
        </w:rPr>
        <w:t xml:space="preserve"> громади</w:t>
      </w:r>
      <w:r w:rsidR="00A97841" w:rsidRPr="006C65A1">
        <w:rPr>
          <w:rFonts w:ascii="Times New Roman" w:hAnsi="Times New Roman"/>
          <w:sz w:val="28"/>
          <w:szCs w:val="28"/>
        </w:rPr>
        <w:t xml:space="preserve"> було придбано контейнери для роздільного сміття  на суму 563,5 </w:t>
      </w:r>
      <w:proofErr w:type="spellStart"/>
      <w:r w:rsidR="00A97841" w:rsidRPr="006C65A1">
        <w:rPr>
          <w:rFonts w:ascii="Times New Roman" w:hAnsi="Times New Roman"/>
          <w:sz w:val="28"/>
          <w:szCs w:val="28"/>
        </w:rPr>
        <w:t>тис.грн</w:t>
      </w:r>
      <w:proofErr w:type="spellEnd"/>
      <w:r w:rsidR="00A97841" w:rsidRPr="006C65A1">
        <w:rPr>
          <w:rFonts w:ascii="Times New Roman" w:hAnsi="Times New Roman"/>
          <w:sz w:val="28"/>
          <w:szCs w:val="28"/>
        </w:rPr>
        <w:t>.</w:t>
      </w:r>
    </w:p>
    <w:p w:rsidR="00FF2211" w:rsidRPr="00D63776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"Забезпечення функціонування підприємств, установ та організацій, що виробляють, виконують та/або надають житлово-комунальні послуги" видатки загального фонду становлять –  </w:t>
      </w:r>
      <w:r w:rsidR="00AF1F2B"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45,9</w:t>
      </w:r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– </w:t>
      </w:r>
      <w:r w:rsidR="00AF1F2B"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45,9</w:t>
      </w:r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D637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або 100,0%.</w:t>
      </w:r>
    </w:p>
    <w:p w:rsidR="00FF2211" w:rsidRPr="003A6850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Видатки загального фонду по організації благоустрою населених пунктів становл</w:t>
      </w:r>
      <w:r w:rsidR="00BE37D8"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ять 3140,4 </w:t>
      </w:r>
      <w:proofErr w:type="spellStart"/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 w:rsidR="00BE37D8"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3271,2</w:t>
      </w: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 або виконано на 9</w:t>
      </w:r>
      <w:r w:rsidR="00BE37D8"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6,0</w:t>
      </w: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  <w:r w:rsidR="00BE37D8"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Видатки спеціального фонду склали </w:t>
      </w:r>
      <w:r w:rsidR="00BE37D8"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2206,8</w:t>
      </w: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</w:t>
      </w:r>
      <w:r w:rsidR="00BE37D8"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99,8</w:t>
      </w: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 до уточненого плану на рік</w:t>
      </w:r>
      <w:r w:rsidR="000C3C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3A68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C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на </w:t>
      </w:r>
      <w:r w:rsidR="00B7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</w:t>
      </w:r>
      <w:r w:rsidR="00B70983" w:rsidRPr="00A73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світлотехнічного обладнання по вуличному освітленню</w:t>
      </w:r>
      <w:r w:rsidR="006125FB">
        <w:rPr>
          <w:rFonts w:ascii="Times New Roman" w:eastAsia="Times New Roman" w:hAnsi="Times New Roman" w:cs="Times New Roman"/>
          <w:sz w:val="28"/>
          <w:szCs w:val="28"/>
          <w:lang w:eastAsia="ar-SA"/>
        </w:rPr>
        <w:t>, систем відеоспостереження</w:t>
      </w:r>
      <w:r w:rsidR="00B70983" w:rsidRPr="00A73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125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дитячих майданчиків, гойдалок </w:t>
      </w:r>
      <w:r w:rsidR="00B70983" w:rsidRPr="00A7341D">
        <w:rPr>
          <w:rFonts w:ascii="Times New Roman" w:eastAsia="Times New Roman" w:hAnsi="Times New Roman" w:cs="Times New Roman"/>
          <w:sz w:val="28"/>
          <w:szCs w:val="28"/>
          <w:lang w:eastAsia="ar-SA"/>
        </w:rPr>
        <w:t>(міні-проекти),</w:t>
      </w:r>
      <w:r w:rsidR="006125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будиночків для криниць</w:t>
      </w:r>
      <w:r w:rsidR="00B70983" w:rsidRPr="00A73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25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витрачено 445,3 </w:t>
      </w:r>
      <w:proofErr w:type="spellStart"/>
      <w:r w:rsidR="000C3CCC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C3CCC" w:rsidRP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A7C" w:rsidRPr="00CB7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7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Завдяки співпраці </w:t>
      </w:r>
      <w:r w:rsidR="00CB7A7C">
        <w:rPr>
          <w:rFonts w:ascii="Times New Roman" w:hAnsi="Times New Roman"/>
          <w:sz w:val="28"/>
          <w:szCs w:val="28"/>
        </w:rPr>
        <w:t xml:space="preserve">громади з проектом DOBRE </w:t>
      </w:r>
      <w:r w:rsidR="00CB7A7C">
        <w:rPr>
          <w:rFonts w:ascii="Times New Roman" w:hAnsi="Times New Roman"/>
          <w:kern w:val="2"/>
          <w:sz w:val="28"/>
          <w:szCs w:val="28"/>
          <w:lang w:eastAsia="ar-SA"/>
        </w:rPr>
        <w:t xml:space="preserve">завершено реалізацію проекту </w:t>
      </w:r>
      <w:proofErr w:type="spellStart"/>
      <w:r w:rsidR="00CB7A7C">
        <w:rPr>
          <w:rFonts w:ascii="Times New Roman" w:hAnsi="Times New Roman"/>
          <w:sz w:val="28"/>
          <w:szCs w:val="28"/>
        </w:rPr>
        <w:t>скейт-парк</w:t>
      </w:r>
      <w:proofErr w:type="spellEnd"/>
      <w:r w:rsidR="00CB7A7C">
        <w:rPr>
          <w:rFonts w:ascii="Times New Roman" w:hAnsi="Times New Roman"/>
          <w:sz w:val="28"/>
          <w:szCs w:val="28"/>
        </w:rPr>
        <w:t xml:space="preserve">, </w:t>
      </w:r>
      <w:r w:rsidR="008861AE">
        <w:rPr>
          <w:rFonts w:ascii="Times New Roman" w:hAnsi="Times New Roman"/>
          <w:sz w:val="28"/>
          <w:szCs w:val="28"/>
        </w:rPr>
        <w:t xml:space="preserve">обладнання </w:t>
      </w:r>
      <w:r w:rsidR="00CB7A7C">
        <w:rPr>
          <w:rFonts w:ascii="Times New Roman" w:hAnsi="Times New Roman"/>
          <w:sz w:val="28"/>
          <w:szCs w:val="28"/>
        </w:rPr>
        <w:t>як</w:t>
      </w:r>
      <w:r w:rsidR="008861AE">
        <w:rPr>
          <w:rFonts w:ascii="Times New Roman" w:hAnsi="Times New Roman"/>
          <w:sz w:val="28"/>
          <w:szCs w:val="28"/>
        </w:rPr>
        <w:t>ого</w:t>
      </w:r>
      <w:r w:rsidR="00CB7A7C">
        <w:rPr>
          <w:rFonts w:ascii="Times New Roman" w:hAnsi="Times New Roman"/>
          <w:sz w:val="28"/>
          <w:szCs w:val="28"/>
        </w:rPr>
        <w:t xml:space="preserve"> взято на облік на суму 605,7 </w:t>
      </w:r>
      <w:proofErr w:type="spellStart"/>
      <w:r w:rsidR="00CB7A7C">
        <w:rPr>
          <w:rFonts w:ascii="Times New Roman" w:hAnsi="Times New Roman"/>
          <w:sz w:val="28"/>
          <w:szCs w:val="28"/>
        </w:rPr>
        <w:t>тис.грн</w:t>
      </w:r>
      <w:proofErr w:type="spellEnd"/>
      <w:r w:rsidR="00CB7A7C">
        <w:rPr>
          <w:rFonts w:ascii="Times New Roman" w:hAnsi="Times New Roman"/>
          <w:sz w:val="28"/>
          <w:szCs w:val="28"/>
        </w:rPr>
        <w:t>.</w:t>
      </w:r>
      <w:r w:rsidR="0025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Капітальні видатки на проектно-кошторисну документацію, експертизу, авторський та </w:t>
      </w:r>
      <w:r w:rsidR="00C92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технічний нагляд, за фактичне виконання капітального ремонту тротуарів складають 1155,8 </w:t>
      </w:r>
      <w:proofErr w:type="spellStart"/>
      <w:r w:rsidR="00C92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929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211" w:rsidRPr="00F17C3C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заплановано видатки по загальному фонду у сумі </w:t>
      </w:r>
      <w:r w:rsidR="00446859"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389,8</w:t>
      </w:r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виконано -  </w:t>
      </w:r>
      <w:r w:rsidR="00446859"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389,8</w:t>
      </w:r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F17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або на 100,0 %. </w:t>
      </w:r>
    </w:p>
    <w:p w:rsidR="00FF2211" w:rsidRPr="00A5132E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"Інша діяльність у сфері житлово-комунального господарства" видатки загального фонду становлять –  </w:t>
      </w:r>
      <w:r w:rsidR="00DD34A5"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253,1</w:t>
      </w:r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при уточненому плані – </w:t>
      </w:r>
      <w:r w:rsidR="00DD34A5"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330,9</w:t>
      </w:r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або 7</w:t>
      </w:r>
      <w:r w:rsidR="00DD34A5"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6,5</w:t>
      </w:r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галузі "</w:t>
      </w:r>
      <w:proofErr w:type="spellStart"/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Житлово</w:t>
      </w:r>
      <w:proofErr w:type="spellEnd"/>
      <w:r w:rsidRPr="00A513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комунальне господарство" дебіторська та кредиторська заборгованість на початок та на кінець року по загальному та по спеціальному фондах відсутня.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КПКВ 7000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"Економічна діяльність"</w:t>
      </w:r>
    </w:p>
    <w:p w:rsidR="00FF2211" w:rsidRPr="005C152B" w:rsidRDefault="00FF2211" w:rsidP="00FF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 на економічну діяльність за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звітний рік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передбачені в бюджеті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загальному фонду у сумі  </w:t>
      </w:r>
      <w:r w:rsidR="00AA5948">
        <w:rPr>
          <w:rFonts w:ascii="Times New Roman" w:eastAsia="Times New Roman" w:hAnsi="Times New Roman" w:cs="Times New Roman"/>
          <w:sz w:val="28"/>
          <w:szCs w:val="28"/>
          <w:lang w:eastAsia="ar-SA"/>
        </w:rPr>
        <w:t>1220,2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проведені касові видатки на суму </w:t>
      </w:r>
      <w:r w:rsidR="002A60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AA594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1186,9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виконано на </w:t>
      </w:r>
      <w:r w:rsidR="005708D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97,3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%.,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спеціальному фонду видатки становлять </w:t>
      </w:r>
      <w:r w:rsidR="004B2853">
        <w:rPr>
          <w:rFonts w:ascii="Times New Roman" w:eastAsia="Times New Roman" w:hAnsi="Times New Roman" w:cs="Times New Roman"/>
          <w:sz w:val="28"/>
          <w:szCs w:val="28"/>
          <w:lang w:eastAsia="ar-SA"/>
        </w:rPr>
        <w:t>9221,9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уточненому плані   </w:t>
      </w:r>
      <w:r w:rsidR="004B2853">
        <w:rPr>
          <w:rFonts w:ascii="Times New Roman" w:eastAsia="Times New Roman" w:hAnsi="Times New Roman" w:cs="Times New Roman"/>
          <w:sz w:val="28"/>
          <w:szCs w:val="28"/>
          <w:lang w:eastAsia="ar-SA"/>
        </w:rPr>
        <w:t>9933,3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або </w:t>
      </w:r>
      <w:r w:rsidR="004B28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92,8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</w:p>
    <w:p w:rsidR="00805FF9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здійснення заходів із землеустрою заплановано видатки загального фонду у сумі 20,0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касові видатки – 7,</w:t>
      </w:r>
      <w:r w:rsidR="00805F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</w:t>
      </w:r>
      <w:r w:rsidR="00805F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 w:rsidR="00805F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видатки спеціального фонду склали </w:t>
      </w:r>
      <w:r w:rsidR="00805F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450,1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565E14" w:rsidRPr="005C152B" w:rsidRDefault="00FF2211" w:rsidP="00565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"Будівництво освітніх установ та закладів" видатки спеціального фонду становлять </w:t>
      </w:r>
      <w:r w:rsidR="00C22DF7"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810,2</w:t>
      </w:r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 w:rsidR="00C22DF7"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810,2</w:t>
      </w:r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565E14" w:rsidRPr="00EF7A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565E1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6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на </w:t>
      </w:r>
      <w:r w:rsid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еконструкці</w:t>
      </w:r>
      <w:r w:rsid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частини будівлі </w:t>
      </w:r>
      <w:proofErr w:type="spellStart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Воронівської</w:t>
      </w:r>
      <w:proofErr w:type="spellEnd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 </w:t>
      </w:r>
      <w:proofErr w:type="spellStart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Новоукраїнського</w:t>
      </w:r>
      <w:proofErr w:type="spellEnd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навчально-виховного комплексу №8 "Загальноосвітня школа I-III </w:t>
      </w:r>
      <w:proofErr w:type="spellStart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ступенів-</w:t>
      </w:r>
      <w:proofErr w:type="spellEnd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дошкільний  навчальний заклад" під  філію "</w:t>
      </w:r>
      <w:proofErr w:type="spellStart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Воронівський</w:t>
      </w:r>
      <w:proofErr w:type="spellEnd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дошкільний заклад " у с. </w:t>
      </w:r>
      <w:proofErr w:type="spellStart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Воронівка</w:t>
      </w:r>
      <w:proofErr w:type="spellEnd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Новоукраїнського</w:t>
      </w:r>
      <w:proofErr w:type="spellEnd"/>
      <w:r w:rsidR="00CA420E" w:rsidRP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Кіровоградської області</w:t>
      </w:r>
      <w:r w:rsidR="0056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E14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використано </w:t>
      </w:r>
      <w:r w:rsidR="00AA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0E">
        <w:rPr>
          <w:rFonts w:ascii="Times New Roman" w:eastAsia="Times New Roman" w:hAnsi="Times New Roman" w:cs="Times New Roman"/>
          <w:sz w:val="28"/>
          <w:szCs w:val="28"/>
          <w:lang w:eastAsia="ru-RU"/>
        </w:rPr>
        <w:t>690,2</w:t>
      </w:r>
      <w:r w:rsidR="00565E14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5E14"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65E14" w:rsidRPr="003F3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BD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</w:t>
      </w:r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пографо-геодизичні</w:t>
      </w:r>
      <w:proofErr w:type="spellEnd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вишукування  Загальноосвітньої школи </w:t>
      </w:r>
      <w:r w:rsidR="00AA72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I ст. З  поглибленим  вивченням англійської  </w:t>
      </w:r>
      <w:proofErr w:type="spellStart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мови-</w:t>
      </w:r>
      <w:proofErr w:type="spellEnd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гімназія "Лідер"</w:t>
      </w:r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- 15,0 </w:t>
      </w:r>
      <w:proofErr w:type="spellStart"/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та  на виготовлення проектно-</w:t>
      </w:r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кошторисної  документації по  об"</w:t>
      </w:r>
      <w:proofErr w:type="spellStart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єкту</w:t>
      </w:r>
      <w:proofErr w:type="spellEnd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proofErr w:type="spellStart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Новоукраїнському</w:t>
      </w:r>
      <w:proofErr w:type="spellEnd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навчально-виховному  комплексі "Загальноосвітньої школи 1ст.. З  поглибленим  вивченням англійської  </w:t>
      </w:r>
      <w:proofErr w:type="spellStart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мови-</w:t>
      </w:r>
      <w:proofErr w:type="spellEnd"/>
      <w:r w:rsidR="00E02BD6" w:rsidRP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гімназія "Лідер"  за  адресою :Кіровоградська  обл.,м. Новоукраїнка, вул. Соборна,46/16</w:t>
      </w:r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105,0 </w:t>
      </w:r>
      <w:proofErr w:type="spellStart"/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E02B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КПКВ</w:t>
      </w:r>
      <w:r w:rsidR="00F50C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"Будівництво інших об`єктів соціальної та виробничої інфраструктури комунальної власності" видатки спеціального фонду становлять </w:t>
      </w:r>
      <w:r w:rsidR="002878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21,6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 w:rsidR="002878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DB50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Кошти витрачено на виготовлення проектної документації реконструкції мереж вуличного освітлення.</w:t>
      </w:r>
    </w:p>
    <w:p w:rsidR="00FF2211" w:rsidRPr="005C152B" w:rsidRDefault="00C83727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F7B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КПКВ "Проектування, реставрація та охорона пам`яток архітектури" видатки загального фонду становлять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49,0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при уточненому плані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49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C83727">
        <w:rPr>
          <w:rFonts w:ascii="Times New Roman" w:hAnsi="Times New Roman" w:cs="Times New Roman"/>
          <w:color w:val="000000"/>
          <w:sz w:val="28"/>
          <w:szCs w:val="28"/>
        </w:rPr>
        <w:t>Видатки спрямовані на інвентаризацію та паспортизацію об"</w:t>
      </w:r>
      <w:proofErr w:type="spellStart"/>
      <w:r w:rsidRPr="00C83727">
        <w:rPr>
          <w:rFonts w:ascii="Times New Roman" w:hAnsi="Times New Roman" w:cs="Times New Roman"/>
          <w:color w:val="000000"/>
          <w:sz w:val="28"/>
          <w:szCs w:val="28"/>
        </w:rPr>
        <w:t>єктів</w:t>
      </w:r>
      <w:proofErr w:type="spellEnd"/>
      <w:r w:rsidRPr="00C8372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83727">
        <w:rPr>
          <w:rFonts w:ascii="Times New Roman" w:hAnsi="Times New Roman" w:cs="Times New Roman"/>
          <w:color w:val="000000"/>
          <w:sz w:val="28"/>
          <w:szCs w:val="28"/>
        </w:rPr>
        <w:t>пам</w:t>
      </w:r>
      <w:proofErr w:type="spellEnd"/>
      <w:r w:rsidRPr="00C83727">
        <w:rPr>
          <w:rFonts w:ascii="Times New Roman" w:hAnsi="Times New Roman" w:cs="Times New Roman"/>
          <w:color w:val="000000"/>
          <w:sz w:val="28"/>
          <w:szCs w:val="28"/>
        </w:rPr>
        <w:t>"яток архітектури та археології (курганів) на території громади.</w:t>
      </w:r>
      <w:r w:rsidR="00FF2211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розроблення схем планування та забудови територій (містобудівної документації)" заплановано видатки спеціального фонду у сумі </w:t>
      </w:r>
      <w:r w:rsidR="006007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</w:t>
      </w:r>
      <w:r w:rsidR="006007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видатків не проведено.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"Виконання інвестиційних проектів в рамках формування інфраструктури об`єднаних територіальних громад"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спеціального фонду з урахуванням змін на 201</w:t>
      </w:r>
      <w:r w:rsidR="00CB5E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передбачено  </w:t>
      </w:r>
      <w:r w:rsidR="00CB5E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CB5EA4">
        <w:rPr>
          <w:rFonts w:ascii="Times New Roman" w:eastAsia="Times New Roman" w:hAnsi="Times New Roman" w:cs="Times New Roman"/>
          <w:sz w:val="28"/>
          <w:szCs w:val="28"/>
          <w:lang w:eastAsia="ru-RU"/>
        </w:rPr>
        <w:t>3012,7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проведені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касові  видатки  </w:t>
      </w:r>
      <w:r w:rsidR="00BF6E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BF6EAB">
        <w:rPr>
          <w:rFonts w:ascii="Times New Roman" w:eastAsia="Times New Roman" w:hAnsi="Times New Roman" w:cs="Times New Roman"/>
          <w:sz w:val="28"/>
          <w:szCs w:val="28"/>
          <w:lang w:eastAsia="ru-RU"/>
        </w:rPr>
        <w:t>2981,7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або  </w:t>
      </w:r>
      <w:r w:rsidR="00BF6EAB">
        <w:rPr>
          <w:rFonts w:ascii="Times New Roman" w:eastAsia="Times New Roman" w:hAnsi="Times New Roman" w:cs="Times New Roman"/>
          <w:sz w:val="28"/>
          <w:szCs w:val="28"/>
          <w:lang w:eastAsia="ru-RU"/>
        </w:rPr>
        <w:t>99,0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Громадою було проведено </w:t>
      </w:r>
      <w:r w:rsidR="00B45E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</w:t>
      </w:r>
      <w:r w:rsidR="00B45E30" w:rsidRPr="00B45E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апітальний ремонт (відновлення) тротуару із плитки ФЕМ по вул. Гагаріна від вул. В.Демченка до вул.</w:t>
      </w:r>
      <w:r w:rsidR="00383DF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45E30" w:rsidRPr="00B45E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Покровської у м. Новоукраїнка Кіровоградської області</w:t>
      </w:r>
      <w:r w:rsidR="00383DF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83DFA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суму </w:t>
      </w:r>
      <w:r w:rsidR="00EA2DD4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1249,3</w:t>
      </w:r>
      <w:r w:rsidR="00B45E30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EA2DD4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EA2DD4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у тому числі за рахунок </w:t>
      </w:r>
      <w:r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A2DD4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субвенції з державного бюджету місцевим бюджетам на формування інфраструктури об'єднаних територіальних громад</w:t>
      </w:r>
      <w:r w:rsid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суму 974,5 </w:t>
      </w:r>
      <w:proofErr w:type="spellStart"/>
      <w:r w:rsid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на </w:t>
      </w:r>
      <w:r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реконструкці</w:t>
      </w:r>
      <w:r w:rsidR="00EA2DD4"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A2DD4"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мереж вуличного освітлення витрачено </w:t>
      </w:r>
      <w:r w:rsidR="002C6664"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1554,</w:t>
      </w:r>
      <w:r w:rsidR="00CA4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="002C6664"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2C6664"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2C6664" w:rsidRP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у тому </w:t>
      </w:r>
      <w:r w:rsidR="002C6664" w:rsidRPr="00EA2D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 тому числі за рахунок  субвенції </w:t>
      </w:r>
      <w:r w:rsid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 w:rsidR="00AA72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2C6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1300,0</w:t>
      </w:r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та </w:t>
      </w:r>
      <w:r w:rsidR="007769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 кошти даної субвенції </w:t>
      </w:r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ридбан</w:t>
      </w:r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спецобладнання</w:t>
      </w:r>
      <w:proofErr w:type="spellEnd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(устаткування з обмеження водовідведення, прочистки і </w:t>
      </w:r>
      <w:proofErr w:type="spellStart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телеінспекції</w:t>
      </w:r>
      <w:proofErr w:type="spellEnd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водопровідних і каналізаційних мереж та </w:t>
      </w:r>
      <w:proofErr w:type="spellStart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віброплити</w:t>
      </w:r>
      <w:proofErr w:type="spellEnd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для комунального підприємства "</w:t>
      </w:r>
      <w:proofErr w:type="spellStart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Новоукраїнське</w:t>
      </w:r>
      <w:proofErr w:type="spellEnd"/>
      <w:r w:rsidR="003B5D81" w:rsidRP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житлово-комунальне підприємство</w:t>
      </w:r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 на суму</w:t>
      </w:r>
      <w:r w:rsidR="007769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F11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7769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177,7 </w:t>
      </w:r>
      <w:proofErr w:type="spellStart"/>
      <w:r w:rsidR="007769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7769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B5D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1356C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КПКВ "</w:t>
      </w:r>
      <w:r w:rsidRPr="005C152B">
        <w:rPr>
          <w:rFonts w:ascii="Times New Roman" w:hAnsi="Times New Roman" w:cs="Times New Roman"/>
          <w:sz w:val="28"/>
          <w:szCs w:val="28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Виконання інвестиційних проектів в рамках здійснення заходів щодо соціально-економічного розвитку окремих територій"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спеціального фонду з урахуванням змін на 201</w:t>
      </w:r>
      <w:r w:rsidR="00F113C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передбачено  </w:t>
      </w:r>
      <w:r w:rsidR="00F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365B21">
        <w:rPr>
          <w:rFonts w:ascii="Times New Roman" w:eastAsia="Times New Roman" w:hAnsi="Times New Roman" w:cs="Times New Roman"/>
          <w:sz w:val="28"/>
          <w:szCs w:val="28"/>
          <w:lang w:eastAsia="ru-RU"/>
        </w:rPr>
        <w:t>5483,7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проведені касові  видатки  </w:t>
      </w:r>
      <w:r w:rsidR="00365B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365B21">
        <w:rPr>
          <w:rFonts w:ascii="Times New Roman" w:eastAsia="Times New Roman" w:hAnsi="Times New Roman" w:cs="Times New Roman"/>
          <w:sz w:val="28"/>
          <w:szCs w:val="28"/>
          <w:lang w:eastAsia="ru-RU"/>
        </w:rPr>
        <w:t>4958,2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або </w:t>
      </w:r>
      <w:r w:rsidR="00365B21">
        <w:rPr>
          <w:rFonts w:ascii="Times New Roman" w:eastAsia="Times New Roman" w:hAnsi="Times New Roman" w:cs="Times New Roman"/>
          <w:sz w:val="28"/>
          <w:szCs w:val="28"/>
          <w:lang w:eastAsia="ru-RU"/>
        </w:rPr>
        <w:t>90,4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Станом на 01.01.201</w:t>
      </w:r>
      <w:r w:rsidR="00365B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року на рахунках громади існував залишок коштів субвенції з державного бюджету місцевим бюджетам на здійснення заходів щодо соціально-економічного розвитку окремих територій у сумі </w:t>
      </w:r>
      <w:r w:rsidR="00365B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1013,1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який було використано на </w:t>
      </w:r>
      <w:r w:rsid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</w:t>
      </w:r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удівництво блочно-модульної транспортабельної котельні у  філії "Загальноосвітня школа №3" </w:t>
      </w:r>
      <w:proofErr w:type="spellStart"/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загальноосвітньої школи  I-III ступенів №6 </w:t>
      </w:r>
      <w:proofErr w:type="spellStart"/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м </w:t>
      </w:r>
      <w:proofErr w:type="spellStart"/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іської</w:t>
      </w:r>
      <w:proofErr w:type="spellEnd"/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ради, за  адресою: Кіровоградська область м.</w:t>
      </w:r>
      <w:r w:rsidR="001833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Новоукраїнка,</w:t>
      </w:r>
      <w:r w:rsidR="00A93D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43A92" w:rsidRPr="00643A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вул. Миколи Вороного,169</w:t>
      </w:r>
      <w:r w:rsidR="00D665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D665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="00D665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бюджету громади склало 433,3 </w:t>
      </w:r>
      <w:proofErr w:type="spellStart"/>
      <w:r w:rsidR="00D665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D665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Разом з тим, по спеціальному фонду за рахунок</w:t>
      </w:r>
      <w:r w:rsidRPr="005C152B">
        <w:rPr>
          <w:rFonts w:ascii="Times New Roman" w:hAnsi="Times New Roman" w:cs="Times New Roman"/>
          <w:sz w:val="28"/>
          <w:szCs w:val="28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коштів субвенції з державного бюджету місцевим бюджетам на здійснення заходів щодо соціально-економічного розвитку окремих територій у поточному році у сумі </w:t>
      </w:r>
      <w:r w:rsidR="00083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3502,5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та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міського бюджету у сумі </w:t>
      </w:r>
      <w:r w:rsidR="00DF11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EE6F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2932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було проведено видатки на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="00E20352" w:rsidRP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еконструкці</w:t>
      </w:r>
      <w:r w:rsid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="00E20352" w:rsidRP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очисних споруд  по вул. Мокряка  у  м.</w:t>
      </w:r>
      <w:r w:rsidR="00D135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20352" w:rsidRP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Новоукраїнка,  Кіровоградської обл.,  продуктивністю 200 м3/</w:t>
      </w:r>
      <w:proofErr w:type="spellStart"/>
      <w:r w:rsidR="00E20352" w:rsidRP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доб</w:t>
      </w:r>
      <w:proofErr w:type="spellEnd"/>
      <w:r w:rsidR="00E20352" w:rsidRPr="00E203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(Коригування)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DD672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Залишок коштів субвенції з державного бюджету місцевим бюджетам на здійснення заходів щодо соціально-економічного розвитку окремих територій, що утворився станом на 01 січня 20</w:t>
      </w:r>
      <w:r w:rsidR="00405067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="00DD672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року у сумі </w:t>
      </w:r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497,5</w:t>
      </w:r>
      <w:r w:rsidR="00DD672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D672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</w:t>
      </w:r>
      <w:r w:rsidR="002D0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грн</w:t>
      </w:r>
      <w:proofErr w:type="spellEnd"/>
      <w:r w:rsidR="002D0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FD16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</w:t>
      </w:r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proofErr w:type="spellStart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зв</w:t>
      </w:r>
      <w:proofErr w:type="spellEnd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</w:t>
      </w:r>
      <w:proofErr w:type="spellStart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язку</w:t>
      </w:r>
      <w:proofErr w:type="spellEnd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з  невчасним надходженням коштів  щодо  фінансування    об"</w:t>
      </w:r>
      <w:proofErr w:type="spellStart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єкта</w:t>
      </w:r>
      <w:proofErr w:type="spellEnd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 державного  бюджету, </w:t>
      </w:r>
      <w:r w:rsidR="002D0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через що</w:t>
      </w:r>
      <w:r w:rsidR="00FD16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підрядник  не мав  можливості вчасно  виконати  роботи  до кінця поточного  року</w:t>
      </w:r>
      <w:r w:rsidR="002D0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буде </w:t>
      </w:r>
      <w:r w:rsidR="002D0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використано</w:t>
      </w:r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у  наступному  році  після  завершення  робіт по  даному об"</w:t>
      </w:r>
      <w:proofErr w:type="spellStart"/>
      <w:r w:rsidR="00874118" w:rsidRPr="008741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єкту</w:t>
      </w:r>
      <w:proofErr w:type="spellEnd"/>
      <w:r w:rsidR="00874118" w:rsidRPr="002D0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F7B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КПКВ "Утримання та розвиток автомобільних доріг та дорожньої інфраструктури за рахунок коштів місцевого бюджету"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загального фонду з урахуванням змін на 201</w:t>
      </w:r>
      <w:r w:rsidR="00436D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передбачено  </w:t>
      </w:r>
      <w:r w:rsidR="00AB66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AB66A8">
        <w:rPr>
          <w:rFonts w:ascii="Times New Roman" w:eastAsia="Times New Roman" w:hAnsi="Times New Roman" w:cs="Times New Roman"/>
          <w:sz w:val="28"/>
          <w:szCs w:val="28"/>
          <w:lang w:eastAsia="ru-RU"/>
        </w:rPr>
        <w:t>1099,2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проведені касові  видатки  </w:t>
      </w:r>
      <w:r w:rsidR="00AB66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AB66A8">
        <w:rPr>
          <w:rFonts w:ascii="Times New Roman" w:eastAsia="Times New Roman" w:hAnsi="Times New Roman" w:cs="Times New Roman"/>
          <w:sz w:val="28"/>
          <w:szCs w:val="28"/>
          <w:lang w:eastAsia="ru-RU"/>
        </w:rPr>
        <w:t>1087,6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 9</w:t>
      </w:r>
      <w:r w:rsidR="00AB66A8"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"Сприяння розвитку малого та середнього підприємництва" видатки загального фонду заплановано у сумі 2,0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касові видатки не проведені.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На реалізацію програм і заходів в галузі туризму та курортів  заплановано видатки загального фонду у сумі 2</w:t>
      </w:r>
      <w:r w:rsidR="000936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касові видатки – </w:t>
      </w:r>
      <w:r w:rsidR="00D147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19,3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</w:t>
      </w:r>
      <w:r w:rsidR="00D147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74,4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%.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"Членські внески до асоціацій органів місцевого самоврядування"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загального фонду з урахуванням змін на 201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передбачено  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 </w:t>
      </w:r>
      <w:r w:rsidR="00DF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24,0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проведені касові  видатки  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23,5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 98,</w:t>
      </w:r>
      <w:r w:rsidR="00D05C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Заборгованість по КПКВ "Економічна діяльність" на початок та на кінець року по загальному та по спеціальному фондах відсутня.  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КПКВ 8000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"Інша діяльність"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 на іншу діяльність громади за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звітний рік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передбачені </w:t>
      </w:r>
      <w:r w:rsidR="00D2022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бюджеті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загальному фонду у сумі  </w:t>
      </w:r>
      <w:r w:rsidR="0047731F">
        <w:rPr>
          <w:rFonts w:ascii="Times New Roman" w:eastAsia="Times New Roman" w:hAnsi="Times New Roman" w:cs="Times New Roman"/>
          <w:sz w:val="28"/>
          <w:szCs w:val="28"/>
          <w:lang w:eastAsia="ar-SA"/>
        </w:rPr>
        <w:t>167,2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проведені касові видатки на суму </w:t>
      </w:r>
      <w:r w:rsidR="00DF11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4773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64,0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виконано на </w:t>
      </w:r>
      <w:r w:rsidR="004773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38,3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%.,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спеціальному фонду видатки становлять </w:t>
      </w:r>
      <w:r w:rsidR="00C83A52">
        <w:rPr>
          <w:rFonts w:ascii="Times New Roman" w:eastAsia="Times New Roman" w:hAnsi="Times New Roman" w:cs="Times New Roman"/>
          <w:sz w:val="28"/>
          <w:szCs w:val="28"/>
          <w:lang w:eastAsia="ar-SA"/>
        </w:rPr>
        <w:t>75,5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 уточненому плані</w:t>
      </w:r>
      <w:r w:rsidR="00C83A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95,1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або </w:t>
      </w:r>
      <w:r w:rsidR="00C83A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79,3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63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заходи з організації рятування на водах заплановано видатки загального фонду у сумі  7,2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касові видатки – </w:t>
      </w:r>
      <w:r w:rsidR="00F822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7,2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</w:t>
      </w:r>
      <w:r w:rsidR="00F822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Видатки на і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нші заходи громадського порядку та безпеки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</w:t>
      </w:r>
      <w:r w:rsidR="001E0307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 по загальному фонду становлять  </w:t>
      </w:r>
      <w:r w:rsidR="006521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6,8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уточненому плані </w:t>
      </w:r>
      <w:r w:rsidR="00DB1B0B">
        <w:rPr>
          <w:rFonts w:ascii="Times New Roman" w:eastAsia="Times New Roman" w:hAnsi="Times New Roman" w:cs="Times New Roman"/>
          <w:sz w:val="28"/>
          <w:szCs w:val="28"/>
          <w:lang w:eastAsia="ar-SA"/>
        </w:rPr>
        <w:t>10,0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4667E" w:rsidRDefault="00FF2211" w:rsidP="000A30DF">
      <w:pPr>
        <w:suppressAutoHyphens/>
        <w:spacing w:after="0" w:line="240" w:lineRule="auto"/>
        <w:ind w:firstLine="709"/>
        <w:jc w:val="both"/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201</w:t>
      </w:r>
      <w:r w:rsidR="001A7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рік по функції 8340 "</w:t>
      </w:r>
      <w:r w:rsidRPr="005C152B">
        <w:rPr>
          <w:rFonts w:ascii="Times New Roman" w:hAnsi="Times New Roman" w:cs="Times New Roman"/>
          <w:sz w:val="28"/>
          <w:szCs w:val="28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Природоохоронні заходи за рахунок цільових фондів" видатки спеціального фонду заплановано у сумі </w:t>
      </w:r>
      <w:r w:rsidR="001A7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95,1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1E74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касові видатки </w:t>
      </w:r>
      <w:r w:rsidR="003A08E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склали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378E3" w:rsidRPr="000A30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75.5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., які протягом року використані на</w:t>
      </w:r>
      <w:r w:rsidR="000A30DF" w:rsidRPr="000A30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A30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придбання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контейнер</w:t>
      </w:r>
      <w:r w:rsidR="000A30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ів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</w:t>
      </w:r>
      <w:r w:rsidR="000A30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ТПВ.</w:t>
      </w:r>
      <w:r w:rsidR="00B4667E" w:rsidRPr="00B4667E">
        <w:t xml:space="preserve"> </w:t>
      </w:r>
    </w:p>
    <w:p w:rsidR="00B214BE" w:rsidRPr="005C152B" w:rsidRDefault="00B214BE" w:rsidP="00B214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63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</w:t>
      </w:r>
      <w:r w:rsidRPr="00B466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нші заходи у сфері засобів масової інформації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заплановано видатки загального фонду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урахуванням змін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 сумі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касові видатки – </w:t>
      </w:r>
      <w:r w:rsidR="00DF11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або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Резервний фонд </w:t>
      </w:r>
      <w:r w:rsidR="00210C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201</w:t>
      </w:r>
      <w:r w:rsidR="00210C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році було заплановано в розмірі 100,0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Станом на 01.01.20</w:t>
      </w:r>
      <w:r w:rsidR="007D5D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року кошти резервного фонду не перерозподілялися.  Видатки за рахунок резервного фонду не проводилися.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Заборгованість по КПКВ "Інша діяльність" на початок та на кінець року по загальному та по спеціальному фондах відсутня.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КПКВ 9000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"Міжбюджетні трансферти"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КПКВ "Міжбюджетні трансферти"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звітний рік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передбачені в бюджеті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загальному фонду у сумі  </w:t>
      </w:r>
      <w:r w:rsidR="003528BB">
        <w:rPr>
          <w:rFonts w:ascii="Times New Roman" w:eastAsia="Times New Roman" w:hAnsi="Times New Roman" w:cs="Times New Roman"/>
          <w:sz w:val="28"/>
          <w:szCs w:val="28"/>
          <w:lang w:eastAsia="ar-SA"/>
        </w:rPr>
        <w:t>14132,0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проведені касові видатки на суму </w:t>
      </w:r>
      <w:r w:rsidR="003528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14061,5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або виконано на 99,</w:t>
      </w:r>
      <w:r w:rsidR="003506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%.,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спеціальному фонду видатки становлять </w:t>
      </w:r>
      <w:r w:rsidR="007F61E3">
        <w:rPr>
          <w:rFonts w:ascii="Times New Roman" w:eastAsia="Times New Roman" w:hAnsi="Times New Roman" w:cs="Times New Roman"/>
          <w:sz w:val="28"/>
          <w:szCs w:val="28"/>
          <w:lang w:eastAsia="ar-SA"/>
        </w:rPr>
        <w:t>28,6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 уточненому плані  </w:t>
      </w:r>
      <w:r w:rsidR="007F61E3">
        <w:rPr>
          <w:rFonts w:ascii="Times New Roman" w:eastAsia="Times New Roman" w:hAnsi="Times New Roman" w:cs="Times New Roman"/>
          <w:sz w:val="28"/>
          <w:szCs w:val="28"/>
          <w:lang w:eastAsia="ar-SA"/>
        </w:rPr>
        <w:t>31,4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або 91</w:t>
      </w:r>
      <w:r w:rsidR="007F61E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Видатки по КПКВ "</w:t>
      </w:r>
      <w:r w:rsidRPr="005A19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Субвенція з місцевого бюджету на здійснення переданих видатків у сфері охорони здоров`я за рахунок коштів медичної субвенції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 за 201</w:t>
      </w:r>
      <w:r w:rsidR="008105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рік по загальному фонду станов</w:t>
      </w:r>
      <w:r w:rsidR="008105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лять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105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12869,5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Кошти </w:t>
      </w:r>
      <w:r w:rsidR="004E04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повному обсязі перераховані</w:t>
      </w:r>
      <w:r w:rsidR="004E04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до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районно</w:t>
      </w:r>
      <w:r w:rsidR="004E04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бюджету. </w:t>
      </w:r>
    </w:p>
    <w:p w:rsidR="00FF2211" w:rsidRPr="004A7491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Громадою надана субвенція</w:t>
      </w:r>
      <w:r w:rsidRPr="00C94D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обласному бюджету</w:t>
      </w:r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5F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 місцевого бюджету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075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</w:t>
      </w:r>
      <w:proofErr w:type="spellStart"/>
      <w:r w:rsidRPr="000075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0075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інвестиційних проектів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спеціальному фонду у сумі </w:t>
      </w:r>
      <w:r w:rsidR="00E919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8606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31,4</w:t>
      </w:r>
      <w:r w:rsidRPr="00D97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</w:t>
      </w:r>
      <w:r w:rsidR="00821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 саме на </w:t>
      </w:r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«Будівництво футбольних полів зі штучним покриттям в регіонах України" для об'єкта "Реконструкція  спортивного майданчика для </w:t>
      </w:r>
      <w:proofErr w:type="spellStart"/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>мініфутболу</w:t>
      </w:r>
      <w:proofErr w:type="spellEnd"/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зі штучним покриттям у </w:t>
      </w:r>
      <w:proofErr w:type="spellStart"/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Новоукраїнському</w:t>
      </w:r>
      <w:proofErr w:type="spellEnd"/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загальноосвітньому навчально-виховному комплексі №8 "Загальноосвітня школа </w:t>
      </w:r>
      <w:r w:rsidRPr="00592E2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І-ІІІ ступенів - дошкільний навчальний заклад</w:t>
      </w:r>
      <w:r w:rsidR="00CD30B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21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Невикористані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субвенц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сумі </w:t>
      </w:r>
      <w:r w:rsidR="00381EA9">
        <w:rPr>
          <w:rFonts w:ascii="Times New Roman" w:eastAsia="Times New Roman" w:hAnsi="Times New Roman" w:cs="Times New Roman"/>
          <w:sz w:val="28"/>
          <w:szCs w:val="28"/>
          <w:lang w:eastAsia="ar-SA"/>
        </w:rPr>
        <w:t>2,8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606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обласним бюджетом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кінці року п</w:t>
      </w:r>
      <w:r w:rsidR="0086062D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овернуто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рахун</w:t>
      </w:r>
      <w:r w:rsidR="00381EA9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062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D1F9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 </w:t>
      </w:r>
      <w:r w:rsidRPr="00B74B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идатки по КПКВ "Інші субвенції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місцевого бюджету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" по загальному фонду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заплановано у сумі </w:t>
      </w:r>
      <w:r w:rsidR="006B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1161,1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касові видатки склали </w:t>
      </w:r>
      <w:r w:rsidR="006B76F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1090,6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 тому числі р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айонному бюджету по загальному фонду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перераховано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субвенцію на: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proofErr w:type="spellStart"/>
      <w:r w:rsidRPr="009910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співфінансування</w:t>
      </w:r>
      <w:proofErr w:type="spellEnd"/>
      <w:r w:rsidRPr="009910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утримання територіального центру</w:t>
      </w:r>
      <w:r w:rsidR="00E027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січень звітного року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 w:rsidR="002032D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250,0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F131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фінансування </w:t>
      </w:r>
      <w:r w:rsidRPr="000A29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проведення заходів та оплату опалення </w:t>
      </w:r>
      <w:proofErr w:type="spellStart"/>
      <w:r w:rsidRPr="000A29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Pr="000A29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районної  ради ветеранів 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F131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0F45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фінансування на проведення заходів районної громадської організації "Союз Чорнобиль України"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081D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CA07EF" w:rsidRDefault="00FF2211" w:rsidP="00CA07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A13EC0" w:rsidRPr="00A13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виплати мешканцям об’єднаної територіальної громади в частині відшкодування пільг з оплати послуг зв’язку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A07F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1,6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CD0247" w:rsidP="00CA07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FF2211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CD02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виплати  мешканцям об’єднаної територіальної громади в частині надання соціальних гарантій інвалідам, фізичним особам, які надають соціальні послуги громадянам похилого віку, інвалідам, хворим, які не здатні до обслуговування і потребують сторонньої допомоги</w:t>
      </w:r>
      <w:r w:rsidR="00E65D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30,</w:t>
      </w:r>
      <w:r w:rsidR="00DD7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E65D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E65D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E65D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FF2211"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A52FDF" w:rsidRPr="00A52F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закупівлю вакцини проти грипу для проведення вакцинації  медпрацівників, вчителів, вихователів, працівників поліції комунальному некомерційному підприємству  "Центр первинної медико-санітарної допомоги"  </w:t>
      </w:r>
      <w:proofErr w:type="spellStart"/>
      <w:r w:rsidR="00A52FDF" w:rsidRPr="00A52F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A52FDF" w:rsidRPr="00A52FD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районної ради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BA6E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0458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5,</w:t>
      </w:r>
      <w:r w:rsidR="00BA6E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2C6518" w:rsidRPr="002C65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оплату енергоносіїв  та комунальних послуг комунальному некомерційному підприємству  "Центр первинної медико-санітарної допомоги"  </w:t>
      </w:r>
      <w:proofErr w:type="spellStart"/>
      <w:r w:rsidR="002C6518" w:rsidRPr="002C65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2C6518" w:rsidRPr="002C65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районної ради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2C65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105,9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EA5EB0" w:rsidRPr="00EA5E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придбання медикаментів, в тому числі  по пільгових рецептах, молочних сумішей, </w:t>
      </w:r>
      <w:proofErr w:type="spellStart"/>
      <w:r w:rsidR="00EA5EB0" w:rsidRPr="00EA5E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памперсів</w:t>
      </w:r>
      <w:proofErr w:type="spellEnd"/>
      <w:r w:rsidR="00EA5EB0" w:rsidRPr="00EA5E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комунальному некомерційному підприємству  "Центр первинної медико-санітарної допомоги"  </w:t>
      </w:r>
      <w:proofErr w:type="spellStart"/>
      <w:r w:rsidR="00EA5EB0" w:rsidRPr="00EA5E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EA5EB0" w:rsidRPr="00EA5E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районної ради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E919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</w:t>
      </w:r>
      <w:r w:rsidR="00EA5E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57,0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572716" w:rsidRPr="005727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оплату заробітної плати  медичного персоналу на ФАП та ФП ОТГ комунальному некомерційному підприємству  "Центр первинної медико-санітарної допомоги"  </w:t>
      </w:r>
      <w:proofErr w:type="spellStart"/>
      <w:r w:rsidR="00572716" w:rsidRPr="005727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572716" w:rsidRPr="005727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районної ради </w:t>
      </w:r>
      <w:r w:rsidRPr="00336A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5727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117,0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BB3720" w:rsidRPr="00BB37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оплату проведення бактеріологічних досліджень працівників бюджетної сфери </w:t>
      </w:r>
      <w:proofErr w:type="spellStart"/>
      <w:r w:rsidR="00BB3720" w:rsidRPr="00BB37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Новоукраїнській</w:t>
      </w:r>
      <w:proofErr w:type="spellEnd"/>
      <w:r w:rsidR="00BB3720" w:rsidRPr="00BB37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центральній  районній лікарні 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BB37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34,5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="00DF5AB2" w:rsidRP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придбання інсуліну КНП "</w:t>
      </w:r>
      <w:proofErr w:type="spellStart"/>
      <w:r w:rsidR="00DF5AB2" w:rsidRP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Новоукраїнська</w:t>
      </w:r>
      <w:proofErr w:type="spellEnd"/>
      <w:r w:rsidR="00DF5AB2" w:rsidRP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центральна  районна лікарня" </w:t>
      </w:r>
      <w:proofErr w:type="spellStart"/>
      <w:r w:rsidR="00DF5AB2" w:rsidRP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Новоукраїнської</w:t>
      </w:r>
      <w:proofErr w:type="spellEnd"/>
      <w:r w:rsidR="00DF5AB2" w:rsidRP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районної ради</w:t>
      </w:r>
      <w:r w:rsid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 w:rsidRP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F5A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400,0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FF50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F2211" w:rsidRPr="005C152B" w:rsidRDefault="00FF2211" w:rsidP="00FF22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636A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Субвенці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Pr="00636A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загальному фонду перераховано у сумі </w:t>
      </w:r>
      <w:r w:rsidR="002E253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101,4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тис. грн.</w:t>
      </w:r>
      <w:r w:rsidR="002E253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 тому числі</w:t>
      </w:r>
      <w:r w:rsidR="00434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</w:p>
    <w:p w:rsidR="00FF2211" w:rsidRPr="00413B3A" w:rsidRDefault="00434D7C" w:rsidP="00434D7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D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придбання індивідуальних масок для дихального апарату на стиснутому повітрі 19 державній пожежно-рятувальній частині  УДСНС України у Кіровоградській області</w:t>
      </w:r>
      <w:r w:rsidR="00FF2211" w:rsidRPr="00413B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– </w:t>
      </w:r>
      <w:r w:rsidR="006F6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71,4</w:t>
      </w:r>
      <w:r w:rsidR="00FF2211" w:rsidRPr="00413B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F2211" w:rsidRPr="00413B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="00FF2211" w:rsidRPr="00413B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07719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7719A" w:rsidRP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придбання паливно-мастильних матеріалів для автомобілів </w:t>
      </w:r>
      <w:proofErr w:type="spellStart"/>
      <w:r w:rsidR="0007719A" w:rsidRP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Новоукраїнському</w:t>
      </w:r>
      <w:proofErr w:type="spellEnd"/>
      <w:r w:rsidR="0007719A" w:rsidRP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міжрайонному відділенню управління Служби безпеки України в Кіровоградській області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07719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7719A" w:rsidRP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удосконалення організаційного забезпечення діяльності ГУ ДФС у Кіровоградській області (</w:t>
      </w:r>
      <w:proofErr w:type="spellStart"/>
      <w:r w:rsidR="0007719A" w:rsidRP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Новоукраїнське</w:t>
      </w:r>
      <w:proofErr w:type="spellEnd"/>
      <w:r w:rsidR="0007719A" w:rsidRP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управління)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077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0,0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.;</w:t>
      </w:r>
    </w:p>
    <w:p w:rsidR="00FF2211" w:rsidRPr="005C152B" w:rsidRDefault="00FF2211" w:rsidP="00647D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 </w:t>
      </w:r>
      <w:r w:rsidR="00647D9C" w:rsidRPr="00647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придбання паливно-мастильних матеріалів для автомобілів 19 державній пожежно-рятувальній частині  УДСНС України у Кіровоградській області 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- 1</w:t>
      </w:r>
      <w:r w:rsidR="00647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,0 </w:t>
      </w:r>
      <w:proofErr w:type="spellStart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FF2211" w:rsidRPr="001A684B" w:rsidRDefault="00FF2211" w:rsidP="00FF22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1A684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Заборгованість по КПКВ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Міжбюджетні трансферти</w:t>
      </w:r>
      <w:r w:rsidRPr="001A684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" на початок та на кінець року по загальному та по спеціальному фондах відсутня.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5C152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  <w:t xml:space="preserve">                                       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Фінансування.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виконання видаткової частини бюджету протягом року проводився аналіз та перерозподіл залишків асигнувань по головним розпорядникам коштів, а також виділення додаткових коштів за рахунок перевиконання дохідної частини загального</w:t>
      </w:r>
      <w:r w:rsidR="002412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</w:t>
      </w:r>
      <w:r w:rsidR="0024126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</w:t>
      </w:r>
      <w:r w:rsidR="002412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uk-UA"/>
        </w:rPr>
        <w:t>. В першу чергу кошти направлялись на  фінансування захищених статей видатків та проведені всі необхідні витрати для функціонування бюджетних установ громади.</w:t>
      </w:r>
    </w:p>
    <w:p w:rsidR="00FF2211" w:rsidRPr="005C152B" w:rsidRDefault="00FF2211" w:rsidP="00FF22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 w:rsidR="009411F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році збільшено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кошторисні призначення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рахунок зміни залишків бюджетних коштів станом на 01.01.201</w:t>
      </w:r>
      <w:r w:rsidR="000E4B7A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у сумі 1</w:t>
      </w:r>
      <w:r w:rsidR="0091161C">
        <w:rPr>
          <w:rFonts w:ascii="Times New Roman" w:eastAsia="Times New Roman" w:hAnsi="Times New Roman" w:cs="Times New Roman"/>
          <w:sz w:val="28"/>
          <w:szCs w:val="28"/>
          <w:lang w:eastAsia="ar-SA"/>
        </w:rPr>
        <w:t>0605,6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43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них за рахунок залишку коштів субвенції на соціально-економічний розвиток окремих територій – 1013,1 </w:t>
      </w:r>
      <w:proofErr w:type="spellStart"/>
      <w:r w:rsidR="00243189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2431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E15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Видатки залучено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оплату праці та нарахування на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заробітну плату – 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>546,2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оплату комунальних послуг та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енергоносії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>195,5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інші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>4690,9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грн. та кошти передані до спеціального фонду</w:t>
      </w:r>
      <w:r w:rsidR="00427E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(бюджету розвитку)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>5173,0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04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рахунок перевиконання дохідної частини загального фонду збільшено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кошторисні призначення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сумі 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5003,1</w:t>
      </w:r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у тому числі: 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оплату комунальних послуг та 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енергоносії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368,2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інші 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2904,6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та кошти передані до спеціального фонду – </w:t>
      </w:r>
      <w:r w:rsidR="0096516D">
        <w:rPr>
          <w:rFonts w:ascii="Times New Roman" w:eastAsia="Times New Roman" w:hAnsi="Times New Roman" w:cs="Times New Roman"/>
          <w:sz w:val="28"/>
          <w:szCs w:val="28"/>
          <w:lang w:eastAsia="ar-SA"/>
        </w:rPr>
        <w:t>1730,4</w:t>
      </w:r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96516D" w:rsidRPr="005C15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75C57" w:rsidRDefault="00B75C57" w:rsidP="00B75C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C57" w:rsidRDefault="00B75C57" w:rsidP="00B75C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C57" w:rsidRDefault="00B75C57" w:rsidP="00B75C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4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Підводячи підсумки виконання бюджету міської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'єднаної територіальної громади </w:t>
      </w:r>
      <w:r w:rsidRPr="0070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7045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 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 </w:t>
      </w:r>
      <w:r w:rsidR="008D3A58">
        <w:rPr>
          <w:rFonts w:ascii="Times New Roman" w:eastAsia="Times New Roman" w:hAnsi="Times New Roman" w:cs="Times New Roman"/>
          <w:sz w:val="28"/>
          <w:szCs w:val="28"/>
          <w:lang w:eastAsia="ru-RU"/>
        </w:rPr>
        <w:t>162660,0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3A58">
        <w:rPr>
          <w:rFonts w:ascii="Times New Roman" w:eastAsia="Times New Roman" w:hAnsi="Times New Roman" w:cs="Times New Roman"/>
          <w:sz w:val="28"/>
          <w:szCs w:val="28"/>
          <w:lang w:eastAsia="ru-RU"/>
        </w:rPr>
        <w:t>03,3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8D3A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уточненого плану на </w:t>
      </w:r>
      <w:r w:rsidR="008D3A5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045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суму </w:t>
      </w:r>
      <w:r w:rsidR="00596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162588,1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C0E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C0E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="009C0E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95,8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% </w:t>
      </w:r>
      <w:proofErr w:type="spellStart"/>
      <w:r w:rsidR="009C0E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на </w:t>
      </w:r>
      <w:proofErr w:type="spellStart"/>
      <w:r w:rsidR="009C0E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B75C57" w:rsidRDefault="00B75C57" w:rsidP="00B75C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7DB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идатки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5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звітний рік по 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заробітній платі працівникам бюджетної сфери, що фінансуються з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громади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своєчасно та в повному обсязі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таном на 01.</w:t>
      </w:r>
      <w:r w:rsidR="00751D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</w:t>
      </w:r>
      <w:r w:rsidR="00751D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аборгован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ість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заробітній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платі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нарахуваннями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відсутня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4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613C0" w:rsidRDefault="00E613C0" w:rsidP="00A0357D">
      <w:pPr>
        <w:rPr>
          <w:rFonts w:ascii="Times New Roman" w:hAnsi="Times New Roman" w:cs="Times New Roman"/>
          <w:sz w:val="28"/>
          <w:szCs w:val="28"/>
        </w:rPr>
      </w:pPr>
    </w:p>
    <w:p w:rsidR="00E613C0" w:rsidRDefault="00E613C0" w:rsidP="00E613C0">
      <w:pPr>
        <w:rPr>
          <w:rFonts w:ascii="Times New Roman" w:hAnsi="Times New Roman" w:cs="Times New Roman"/>
          <w:sz w:val="28"/>
          <w:szCs w:val="28"/>
        </w:rPr>
      </w:pPr>
    </w:p>
    <w:p w:rsidR="00161B09" w:rsidRPr="00E613C0" w:rsidRDefault="00E613C0" w:rsidP="00E613C0">
      <w:pPr>
        <w:rPr>
          <w:rFonts w:ascii="Times New Roman" w:hAnsi="Times New Roman" w:cs="Times New Roman"/>
          <w:sz w:val="28"/>
          <w:szCs w:val="28"/>
        </w:rPr>
      </w:pP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А. </w:t>
      </w:r>
      <w:proofErr w:type="spellStart"/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Колпак</w:t>
      </w:r>
      <w:proofErr w:type="spellEnd"/>
    </w:p>
    <w:sectPr w:rsidR="00161B09" w:rsidRPr="00E613C0" w:rsidSect="002F5CE0">
      <w:pgSz w:w="11906" w:h="16838"/>
      <w:pgMar w:top="567" w:right="567" w:bottom="567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04" w:rsidRDefault="00310C04" w:rsidP="00A9228A">
      <w:pPr>
        <w:spacing w:after="0" w:line="240" w:lineRule="auto"/>
      </w:pPr>
      <w:r>
        <w:separator/>
      </w:r>
    </w:p>
  </w:endnote>
  <w:endnote w:type="continuationSeparator" w:id="0">
    <w:p w:rsidR="00310C04" w:rsidRDefault="00310C04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04" w:rsidRDefault="00310C04" w:rsidP="00A9228A">
      <w:pPr>
        <w:spacing w:after="0" w:line="240" w:lineRule="auto"/>
      </w:pPr>
      <w:r>
        <w:separator/>
      </w:r>
    </w:p>
  </w:footnote>
  <w:footnote w:type="continuationSeparator" w:id="0">
    <w:p w:rsidR="00310C04" w:rsidRDefault="00310C04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71F1652"/>
    <w:multiLevelType w:val="hybridMultilevel"/>
    <w:tmpl w:val="FDA8E0FA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5E0DBE"/>
    <w:multiLevelType w:val="hybridMultilevel"/>
    <w:tmpl w:val="1A8A6ECC"/>
    <w:lvl w:ilvl="0" w:tplc="500A27B2">
      <w:numFmt w:val="bullet"/>
      <w:lvlText w:val="-"/>
      <w:lvlJc w:val="left"/>
      <w:pPr>
        <w:ind w:left="1804" w:hanging="1095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F6B"/>
    <w:rsid w:val="00006098"/>
    <w:rsid w:val="00006561"/>
    <w:rsid w:val="00006B4A"/>
    <w:rsid w:val="00006FFE"/>
    <w:rsid w:val="00007543"/>
    <w:rsid w:val="00011379"/>
    <w:rsid w:val="00014277"/>
    <w:rsid w:val="000151F3"/>
    <w:rsid w:val="000177C5"/>
    <w:rsid w:val="0002172C"/>
    <w:rsid w:val="000221CC"/>
    <w:rsid w:val="000227CC"/>
    <w:rsid w:val="00023988"/>
    <w:rsid w:val="00024E91"/>
    <w:rsid w:val="00024F11"/>
    <w:rsid w:val="00031CDE"/>
    <w:rsid w:val="00033298"/>
    <w:rsid w:val="00034DF9"/>
    <w:rsid w:val="00036055"/>
    <w:rsid w:val="00037EC7"/>
    <w:rsid w:val="00040E94"/>
    <w:rsid w:val="00041BF6"/>
    <w:rsid w:val="00045058"/>
    <w:rsid w:val="0004582C"/>
    <w:rsid w:val="00045F16"/>
    <w:rsid w:val="00047F61"/>
    <w:rsid w:val="00051A92"/>
    <w:rsid w:val="00051B8E"/>
    <w:rsid w:val="00052C4E"/>
    <w:rsid w:val="000542D3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70B66"/>
    <w:rsid w:val="00071961"/>
    <w:rsid w:val="000731E3"/>
    <w:rsid w:val="000736EC"/>
    <w:rsid w:val="00074CBA"/>
    <w:rsid w:val="0007719A"/>
    <w:rsid w:val="00077BE0"/>
    <w:rsid w:val="0008024A"/>
    <w:rsid w:val="00080C0F"/>
    <w:rsid w:val="00080D4C"/>
    <w:rsid w:val="00081D62"/>
    <w:rsid w:val="000835FB"/>
    <w:rsid w:val="00085E2C"/>
    <w:rsid w:val="00086134"/>
    <w:rsid w:val="00087E76"/>
    <w:rsid w:val="0009293C"/>
    <w:rsid w:val="00093668"/>
    <w:rsid w:val="00093DE7"/>
    <w:rsid w:val="000950DF"/>
    <w:rsid w:val="0009530A"/>
    <w:rsid w:val="00097D0B"/>
    <w:rsid w:val="000A177F"/>
    <w:rsid w:val="000A290B"/>
    <w:rsid w:val="000A2F23"/>
    <w:rsid w:val="000A30DF"/>
    <w:rsid w:val="000A36AB"/>
    <w:rsid w:val="000A46B1"/>
    <w:rsid w:val="000A47A7"/>
    <w:rsid w:val="000A4D5A"/>
    <w:rsid w:val="000B2B0A"/>
    <w:rsid w:val="000B64CF"/>
    <w:rsid w:val="000C1C52"/>
    <w:rsid w:val="000C23B0"/>
    <w:rsid w:val="000C3CCC"/>
    <w:rsid w:val="000C4FF5"/>
    <w:rsid w:val="000C7F73"/>
    <w:rsid w:val="000D05AD"/>
    <w:rsid w:val="000D103D"/>
    <w:rsid w:val="000D64A2"/>
    <w:rsid w:val="000E4B7A"/>
    <w:rsid w:val="000E5B30"/>
    <w:rsid w:val="000E5E56"/>
    <w:rsid w:val="000E5EFC"/>
    <w:rsid w:val="000E6D40"/>
    <w:rsid w:val="000F3809"/>
    <w:rsid w:val="000F4575"/>
    <w:rsid w:val="000F50B1"/>
    <w:rsid w:val="000F564C"/>
    <w:rsid w:val="000F633F"/>
    <w:rsid w:val="000F68B6"/>
    <w:rsid w:val="001002FF"/>
    <w:rsid w:val="00101548"/>
    <w:rsid w:val="001026B3"/>
    <w:rsid w:val="00110664"/>
    <w:rsid w:val="00111B69"/>
    <w:rsid w:val="0011207F"/>
    <w:rsid w:val="001124F1"/>
    <w:rsid w:val="00112528"/>
    <w:rsid w:val="00114DB4"/>
    <w:rsid w:val="00115626"/>
    <w:rsid w:val="001159FA"/>
    <w:rsid w:val="00120A55"/>
    <w:rsid w:val="00121F72"/>
    <w:rsid w:val="00122985"/>
    <w:rsid w:val="00122A76"/>
    <w:rsid w:val="00122FFE"/>
    <w:rsid w:val="001253C4"/>
    <w:rsid w:val="00126ED6"/>
    <w:rsid w:val="001279AA"/>
    <w:rsid w:val="0013002D"/>
    <w:rsid w:val="001302C6"/>
    <w:rsid w:val="0013055D"/>
    <w:rsid w:val="00131C51"/>
    <w:rsid w:val="0013268B"/>
    <w:rsid w:val="00132B5A"/>
    <w:rsid w:val="00132FE2"/>
    <w:rsid w:val="00137863"/>
    <w:rsid w:val="001407D6"/>
    <w:rsid w:val="001413FC"/>
    <w:rsid w:val="00144370"/>
    <w:rsid w:val="00145BE5"/>
    <w:rsid w:val="00146646"/>
    <w:rsid w:val="0014780B"/>
    <w:rsid w:val="00150719"/>
    <w:rsid w:val="00151564"/>
    <w:rsid w:val="00151680"/>
    <w:rsid w:val="00153461"/>
    <w:rsid w:val="00156134"/>
    <w:rsid w:val="00157A1F"/>
    <w:rsid w:val="001601F6"/>
    <w:rsid w:val="00161B09"/>
    <w:rsid w:val="00163DF8"/>
    <w:rsid w:val="001654B5"/>
    <w:rsid w:val="00165795"/>
    <w:rsid w:val="00167BEE"/>
    <w:rsid w:val="00170FCF"/>
    <w:rsid w:val="00171BCD"/>
    <w:rsid w:val="00176952"/>
    <w:rsid w:val="00177375"/>
    <w:rsid w:val="001775EF"/>
    <w:rsid w:val="00180FB0"/>
    <w:rsid w:val="00181278"/>
    <w:rsid w:val="001823E1"/>
    <w:rsid w:val="0018333E"/>
    <w:rsid w:val="00184F86"/>
    <w:rsid w:val="00186EE2"/>
    <w:rsid w:val="00194E16"/>
    <w:rsid w:val="00196B16"/>
    <w:rsid w:val="001976E5"/>
    <w:rsid w:val="001A0041"/>
    <w:rsid w:val="001A1556"/>
    <w:rsid w:val="001A1845"/>
    <w:rsid w:val="001A2A8B"/>
    <w:rsid w:val="001A3E44"/>
    <w:rsid w:val="001A4F21"/>
    <w:rsid w:val="001A5EAA"/>
    <w:rsid w:val="001A684B"/>
    <w:rsid w:val="001A70CB"/>
    <w:rsid w:val="001B20BD"/>
    <w:rsid w:val="001B55C2"/>
    <w:rsid w:val="001B68A4"/>
    <w:rsid w:val="001C21B6"/>
    <w:rsid w:val="001C2B66"/>
    <w:rsid w:val="001C35F2"/>
    <w:rsid w:val="001C3C0D"/>
    <w:rsid w:val="001C4096"/>
    <w:rsid w:val="001C4E02"/>
    <w:rsid w:val="001C60BA"/>
    <w:rsid w:val="001D177A"/>
    <w:rsid w:val="001D69D3"/>
    <w:rsid w:val="001D6DE6"/>
    <w:rsid w:val="001E0307"/>
    <w:rsid w:val="001E3809"/>
    <w:rsid w:val="001E41BF"/>
    <w:rsid w:val="001E4CE0"/>
    <w:rsid w:val="001E7280"/>
    <w:rsid w:val="001E7430"/>
    <w:rsid w:val="001E79E8"/>
    <w:rsid w:val="001E7ACA"/>
    <w:rsid w:val="001F0078"/>
    <w:rsid w:val="001F10FC"/>
    <w:rsid w:val="001F1AF6"/>
    <w:rsid w:val="001F20EE"/>
    <w:rsid w:val="001F40E7"/>
    <w:rsid w:val="001F4BC6"/>
    <w:rsid w:val="001F608B"/>
    <w:rsid w:val="001F633E"/>
    <w:rsid w:val="001F7589"/>
    <w:rsid w:val="0020053B"/>
    <w:rsid w:val="00200E7A"/>
    <w:rsid w:val="002032D2"/>
    <w:rsid w:val="00205A15"/>
    <w:rsid w:val="00206DAD"/>
    <w:rsid w:val="00210C8A"/>
    <w:rsid w:val="00211638"/>
    <w:rsid w:val="00214D1E"/>
    <w:rsid w:val="002234BD"/>
    <w:rsid w:val="00225B1D"/>
    <w:rsid w:val="00227A09"/>
    <w:rsid w:val="00227E44"/>
    <w:rsid w:val="0023230B"/>
    <w:rsid w:val="00234F97"/>
    <w:rsid w:val="00235D31"/>
    <w:rsid w:val="00235F05"/>
    <w:rsid w:val="00240D30"/>
    <w:rsid w:val="00240D84"/>
    <w:rsid w:val="00241264"/>
    <w:rsid w:val="00243189"/>
    <w:rsid w:val="00243E0B"/>
    <w:rsid w:val="00246AD4"/>
    <w:rsid w:val="00250A2F"/>
    <w:rsid w:val="00252363"/>
    <w:rsid w:val="00253A62"/>
    <w:rsid w:val="00253AA7"/>
    <w:rsid w:val="00256C7B"/>
    <w:rsid w:val="00257082"/>
    <w:rsid w:val="00260979"/>
    <w:rsid w:val="00261DDE"/>
    <w:rsid w:val="00264002"/>
    <w:rsid w:val="00265FA6"/>
    <w:rsid w:val="002660D0"/>
    <w:rsid w:val="00273745"/>
    <w:rsid w:val="00273758"/>
    <w:rsid w:val="00273E59"/>
    <w:rsid w:val="00274B3A"/>
    <w:rsid w:val="00275B15"/>
    <w:rsid w:val="00275CE6"/>
    <w:rsid w:val="002769A0"/>
    <w:rsid w:val="00277912"/>
    <w:rsid w:val="00280294"/>
    <w:rsid w:val="00280B24"/>
    <w:rsid w:val="00282A29"/>
    <w:rsid w:val="00283B9B"/>
    <w:rsid w:val="00285217"/>
    <w:rsid w:val="002852E4"/>
    <w:rsid w:val="002858EF"/>
    <w:rsid w:val="00285F7E"/>
    <w:rsid w:val="0028785A"/>
    <w:rsid w:val="0029054A"/>
    <w:rsid w:val="00290B12"/>
    <w:rsid w:val="00292928"/>
    <w:rsid w:val="00293247"/>
    <w:rsid w:val="002935CC"/>
    <w:rsid w:val="00293A34"/>
    <w:rsid w:val="00294397"/>
    <w:rsid w:val="00295DC7"/>
    <w:rsid w:val="00296310"/>
    <w:rsid w:val="0029722B"/>
    <w:rsid w:val="00297A36"/>
    <w:rsid w:val="002A07EC"/>
    <w:rsid w:val="002A0E99"/>
    <w:rsid w:val="002A2643"/>
    <w:rsid w:val="002A6068"/>
    <w:rsid w:val="002A649E"/>
    <w:rsid w:val="002B125C"/>
    <w:rsid w:val="002B376E"/>
    <w:rsid w:val="002B3914"/>
    <w:rsid w:val="002B4078"/>
    <w:rsid w:val="002B45E1"/>
    <w:rsid w:val="002B470E"/>
    <w:rsid w:val="002B4AE0"/>
    <w:rsid w:val="002B57C9"/>
    <w:rsid w:val="002C1689"/>
    <w:rsid w:val="002C1715"/>
    <w:rsid w:val="002C3245"/>
    <w:rsid w:val="002C477F"/>
    <w:rsid w:val="002C6518"/>
    <w:rsid w:val="002C6664"/>
    <w:rsid w:val="002C6BEE"/>
    <w:rsid w:val="002C746B"/>
    <w:rsid w:val="002C7D02"/>
    <w:rsid w:val="002D05C3"/>
    <w:rsid w:val="002D168E"/>
    <w:rsid w:val="002D16B2"/>
    <w:rsid w:val="002D1F9D"/>
    <w:rsid w:val="002D5E67"/>
    <w:rsid w:val="002E2533"/>
    <w:rsid w:val="002E500E"/>
    <w:rsid w:val="002F1D23"/>
    <w:rsid w:val="002F44C9"/>
    <w:rsid w:val="002F5CE0"/>
    <w:rsid w:val="002F6A0A"/>
    <w:rsid w:val="00300272"/>
    <w:rsid w:val="003013E9"/>
    <w:rsid w:val="0030165E"/>
    <w:rsid w:val="0030204D"/>
    <w:rsid w:val="00305295"/>
    <w:rsid w:val="00305EDE"/>
    <w:rsid w:val="00310C04"/>
    <w:rsid w:val="003120DD"/>
    <w:rsid w:val="00312550"/>
    <w:rsid w:val="003135C1"/>
    <w:rsid w:val="00313A8A"/>
    <w:rsid w:val="00315D76"/>
    <w:rsid w:val="003200C7"/>
    <w:rsid w:val="003201E3"/>
    <w:rsid w:val="00321692"/>
    <w:rsid w:val="003216D9"/>
    <w:rsid w:val="0032314C"/>
    <w:rsid w:val="00323310"/>
    <w:rsid w:val="003234BF"/>
    <w:rsid w:val="00324076"/>
    <w:rsid w:val="003240C7"/>
    <w:rsid w:val="00325FAA"/>
    <w:rsid w:val="00326CA1"/>
    <w:rsid w:val="00327AF7"/>
    <w:rsid w:val="003310F1"/>
    <w:rsid w:val="00332998"/>
    <w:rsid w:val="0033364E"/>
    <w:rsid w:val="003338C6"/>
    <w:rsid w:val="00336319"/>
    <w:rsid w:val="00336AE7"/>
    <w:rsid w:val="00337D17"/>
    <w:rsid w:val="0034731A"/>
    <w:rsid w:val="00347CD7"/>
    <w:rsid w:val="00350613"/>
    <w:rsid w:val="00351367"/>
    <w:rsid w:val="003528BB"/>
    <w:rsid w:val="00357711"/>
    <w:rsid w:val="00357A30"/>
    <w:rsid w:val="00360D14"/>
    <w:rsid w:val="00360EB5"/>
    <w:rsid w:val="00362EC5"/>
    <w:rsid w:val="00363982"/>
    <w:rsid w:val="00365B21"/>
    <w:rsid w:val="003716F4"/>
    <w:rsid w:val="00374D74"/>
    <w:rsid w:val="003752FC"/>
    <w:rsid w:val="0037589F"/>
    <w:rsid w:val="00375DF2"/>
    <w:rsid w:val="00376CE1"/>
    <w:rsid w:val="00381EA9"/>
    <w:rsid w:val="0038314E"/>
    <w:rsid w:val="00383265"/>
    <w:rsid w:val="00383DFA"/>
    <w:rsid w:val="00391602"/>
    <w:rsid w:val="00391810"/>
    <w:rsid w:val="00393504"/>
    <w:rsid w:val="00393CF7"/>
    <w:rsid w:val="00397891"/>
    <w:rsid w:val="003A08EA"/>
    <w:rsid w:val="003A15FE"/>
    <w:rsid w:val="003A1627"/>
    <w:rsid w:val="003A174C"/>
    <w:rsid w:val="003A3203"/>
    <w:rsid w:val="003A6850"/>
    <w:rsid w:val="003B0467"/>
    <w:rsid w:val="003B0E42"/>
    <w:rsid w:val="003B1D71"/>
    <w:rsid w:val="003B333C"/>
    <w:rsid w:val="003B44BE"/>
    <w:rsid w:val="003B5566"/>
    <w:rsid w:val="003B58B8"/>
    <w:rsid w:val="003B5D81"/>
    <w:rsid w:val="003B718F"/>
    <w:rsid w:val="003B740B"/>
    <w:rsid w:val="003B76E2"/>
    <w:rsid w:val="003C1348"/>
    <w:rsid w:val="003C1F35"/>
    <w:rsid w:val="003C3C73"/>
    <w:rsid w:val="003C42CA"/>
    <w:rsid w:val="003D0A72"/>
    <w:rsid w:val="003D1DCD"/>
    <w:rsid w:val="003D23F3"/>
    <w:rsid w:val="003D2555"/>
    <w:rsid w:val="003D43C8"/>
    <w:rsid w:val="003D6EF3"/>
    <w:rsid w:val="003D743B"/>
    <w:rsid w:val="003D793D"/>
    <w:rsid w:val="003E038D"/>
    <w:rsid w:val="003E1232"/>
    <w:rsid w:val="003E17F4"/>
    <w:rsid w:val="003E2BB4"/>
    <w:rsid w:val="003E3AC4"/>
    <w:rsid w:val="003E596D"/>
    <w:rsid w:val="003E78A6"/>
    <w:rsid w:val="003E797C"/>
    <w:rsid w:val="003F1AE5"/>
    <w:rsid w:val="003F352A"/>
    <w:rsid w:val="003F4615"/>
    <w:rsid w:val="003F714F"/>
    <w:rsid w:val="003F71B1"/>
    <w:rsid w:val="004043E3"/>
    <w:rsid w:val="00405067"/>
    <w:rsid w:val="00405A85"/>
    <w:rsid w:val="004115BB"/>
    <w:rsid w:val="00413175"/>
    <w:rsid w:val="00413180"/>
    <w:rsid w:val="00413962"/>
    <w:rsid w:val="00413B3A"/>
    <w:rsid w:val="0041423A"/>
    <w:rsid w:val="00415D66"/>
    <w:rsid w:val="004232D8"/>
    <w:rsid w:val="0042375A"/>
    <w:rsid w:val="004252E4"/>
    <w:rsid w:val="00426F5D"/>
    <w:rsid w:val="00427E29"/>
    <w:rsid w:val="00432788"/>
    <w:rsid w:val="00432E3A"/>
    <w:rsid w:val="00434D7C"/>
    <w:rsid w:val="00435315"/>
    <w:rsid w:val="00436D4F"/>
    <w:rsid w:val="004432A4"/>
    <w:rsid w:val="00443AB0"/>
    <w:rsid w:val="00444B9C"/>
    <w:rsid w:val="004456BA"/>
    <w:rsid w:val="0044616F"/>
    <w:rsid w:val="00446859"/>
    <w:rsid w:val="0044776C"/>
    <w:rsid w:val="00450FEF"/>
    <w:rsid w:val="00452049"/>
    <w:rsid w:val="00457473"/>
    <w:rsid w:val="004617A8"/>
    <w:rsid w:val="004636D9"/>
    <w:rsid w:val="00463F7C"/>
    <w:rsid w:val="004664DE"/>
    <w:rsid w:val="00473835"/>
    <w:rsid w:val="00474589"/>
    <w:rsid w:val="00474CD7"/>
    <w:rsid w:val="0047530F"/>
    <w:rsid w:val="0047567F"/>
    <w:rsid w:val="0047731F"/>
    <w:rsid w:val="00483330"/>
    <w:rsid w:val="00483777"/>
    <w:rsid w:val="00483A68"/>
    <w:rsid w:val="004841DF"/>
    <w:rsid w:val="00484991"/>
    <w:rsid w:val="0049048A"/>
    <w:rsid w:val="0049137A"/>
    <w:rsid w:val="00491ED7"/>
    <w:rsid w:val="0049379A"/>
    <w:rsid w:val="00493C47"/>
    <w:rsid w:val="004A016B"/>
    <w:rsid w:val="004A1FCC"/>
    <w:rsid w:val="004A3F0A"/>
    <w:rsid w:val="004A44CE"/>
    <w:rsid w:val="004A569D"/>
    <w:rsid w:val="004A59D8"/>
    <w:rsid w:val="004A7491"/>
    <w:rsid w:val="004B126B"/>
    <w:rsid w:val="004B2853"/>
    <w:rsid w:val="004B5F87"/>
    <w:rsid w:val="004B6D78"/>
    <w:rsid w:val="004C1EDF"/>
    <w:rsid w:val="004C1FE0"/>
    <w:rsid w:val="004C2DC2"/>
    <w:rsid w:val="004C388F"/>
    <w:rsid w:val="004C3B9C"/>
    <w:rsid w:val="004C3E22"/>
    <w:rsid w:val="004C4319"/>
    <w:rsid w:val="004C573A"/>
    <w:rsid w:val="004D10EC"/>
    <w:rsid w:val="004D13D8"/>
    <w:rsid w:val="004D29C1"/>
    <w:rsid w:val="004D4F9E"/>
    <w:rsid w:val="004D5134"/>
    <w:rsid w:val="004D5FD5"/>
    <w:rsid w:val="004E048E"/>
    <w:rsid w:val="004E3DBD"/>
    <w:rsid w:val="004E5083"/>
    <w:rsid w:val="004E538D"/>
    <w:rsid w:val="004E669D"/>
    <w:rsid w:val="004E7CD5"/>
    <w:rsid w:val="004F04AE"/>
    <w:rsid w:val="004F2444"/>
    <w:rsid w:val="004F3DDD"/>
    <w:rsid w:val="004F5277"/>
    <w:rsid w:val="004F5970"/>
    <w:rsid w:val="00501B6C"/>
    <w:rsid w:val="0050290A"/>
    <w:rsid w:val="00502F1A"/>
    <w:rsid w:val="00503382"/>
    <w:rsid w:val="005040C7"/>
    <w:rsid w:val="00504148"/>
    <w:rsid w:val="005048EA"/>
    <w:rsid w:val="005050DB"/>
    <w:rsid w:val="0050577D"/>
    <w:rsid w:val="00506A88"/>
    <w:rsid w:val="005100AC"/>
    <w:rsid w:val="005116A7"/>
    <w:rsid w:val="00511ABD"/>
    <w:rsid w:val="00512403"/>
    <w:rsid w:val="00514014"/>
    <w:rsid w:val="0051456E"/>
    <w:rsid w:val="00515690"/>
    <w:rsid w:val="0051615D"/>
    <w:rsid w:val="0051727F"/>
    <w:rsid w:val="005232E6"/>
    <w:rsid w:val="0052464A"/>
    <w:rsid w:val="005252F7"/>
    <w:rsid w:val="005257EE"/>
    <w:rsid w:val="00526B7D"/>
    <w:rsid w:val="0052734E"/>
    <w:rsid w:val="00527369"/>
    <w:rsid w:val="00531055"/>
    <w:rsid w:val="005313B6"/>
    <w:rsid w:val="005315E6"/>
    <w:rsid w:val="00535BC6"/>
    <w:rsid w:val="00536ED1"/>
    <w:rsid w:val="00542D5F"/>
    <w:rsid w:val="00544634"/>
    <w:rsid w:val="00544B7C"/>
    <w:rsid w:val="00545235"/>
    <w:rsid w:val="005502F0"/>
    <w:rsid w:val="005508F7"/>
    <w:rsid w:val="005531FA"/>
    <w:rsid w:val="00553F53"/>
    <w:rsid w:val="00554210"/>
    <w:rsid w:val="005554FD"/>
    <w:rsid w:val="00556A89"/>
    <w:rsid w:val="00560973"/>
    <w:rsid w:val="005614D9"/>
    <w:rsid w:val="00561DA7"/>
    <w:rsid w:val="005637B3"/>
    <w:rsid w:val="00564D7A"/>
    <w:rsid w:val="00565D2D"/>
    <w:rsid w:val="00565E14"/>
    <w:rsid w:val="00567297"/>
    <w:rsid w:val="005703B9"/>
    <w:rsid w:val="005708DC"/>
    <w:rsid w:val="00570B18"/>
    <w:rsid w:val="00570D61"/>
    <w:rsid w:val="00572716"/>
    <w:rsid w:val="0057558B"/>
    <w:rsid w:val="00575A00"/>
    <w:rsid w:val="0057645D"/>
    <w:rsid w:val="005814EB"/>
    <w:rsid w:val="005836F7"/>
    <w:rsid w:val="005845E5"/>
    <w:rsid w:val="00584A6E"/>
    <w:rsid w:val="00585205"/>
    <w:rsid w:val="00586CFD"/>
    <w:rsid w:val="005902EE"/>
    <w:rsid w:val="00590914"/>
    <w:rsid w:val="00592001"/>
    <w:rsid w:val="00592E2C"/>
    <w:rsid w:val="00593591"/>
    <w:rsid w:val="005940F6"/>
    <w:rsid w:val="005949F0"/>
    <w:rsid w:val="00596407"/>
    <w:rsid w:val="0059771D"/>
    <w:rsid w:val="005A1450"/>
    <w:rsid w:val="005A19EC"/>
    <w:rsid w:val="005B1870"/>
    <w:rsid w:val="005B2A58"/>
    <w:rsid w:val="005B35D0"/>
    <w:rsid w:val="005B67A4"/>
    <w:rsid w:val="005B71D3"/>
    <w:rsid w:val="005C0AEE"/>
    <w:rsid w:val="005C152B"/>
    <w:rsid w:val="005C3EFC"/>
    <w:rsid w:val="005C4007"/>
    <w:rsid w:val="005C434E"/>
    <w:rsid w:val="005C5085"/>
    <w:rsid w:val="005D47D7"/>
    <w:rsid w:val="005E312C"/>
    <w:rsid w:val="005E37EF"/>
    <w:rsid w:val="005F0BE4"/>
    <w:rsid w:val="005F302D"/>
    <w:rsid w:val="005F3D92"/>
    <w:rsid w:val="005F54CD"/>
    <w:rsid w:val="005F59C2"/>
    <w:rsid w:val="005F604E"/>
    <w:rsid w:val="00600712"/>
    <w:rsid w:val="00600832"/>
    <w:rsid w:val="00600AEF"/>
    <w:rsid w:val="006025F3"/>
    <w:rsid w:val="00602FF6"/>
    <w:rsid w:val="00603590"/>
    <w:rsid w:val="00605301"/>
    <w:rsid w:val="00611A52"/>
    <w:rsid w:val="00612143"/>
    <w:rsid w:val="006125FB"/>
    <w:rsid w:val="00614358"/>
    <w:rsid w:val="00614903"/>
    <w:rsid w:val="006177AD"/>
    <w:rsid w:val="00617F58"/>
    <w:rsid w:val="006214A8"/>
    <w:rsid w:val="00625600"/>
    <w:rsid w:val="0063240B"/>
    <w:rsid w:val="00635726"/>
    <w:rsid w:val="00636781"/>
    <w:rsid w:val="00636AA4"/>
    <w:rsid w:val="006378E3"/>
    <w:rsid w:val="00643A92"/>
    <w:rsid w:val="00645B7F"/>
    <w:rsid w:val="00647187"/>
    <w:rsid w:val="00647D9C"/>
    <w:rsid w:val="006510C4"/>
    <w:rsid w:val="00651CEB"/>
    <w:rsid w:val="00651D27"/>
    <w:rsid w:val="0065217B"/>
    <w:rsid w:val="006521BB"/>
    <w:rsid w:val="0065310D"/>
    <w:rsid w:val="006607B6"/>
    <w:rsid w:val="00660A50"/>
    <w:rsid w:val="006651DC"/>
    <w:rsid w:val="006668B4"/>
    <w:rsid w:val="006669AA"/>
    <w:rsid w:val="00670F42"/>
    <w:rsid w:val="006734BA"/>
    <w:rsid w:val="00673AA9"/>
    <w:rsid w:val="0067410B"/>
    <w:rsid w:val="00674CCA"/>
    <w:rsid w:val="00676C8B"/>
    <w:rsid w:val="006779FA"/>
    <w:rsid w:val="006815E0"/>
    <w:rsid w:val="00682DB4"/>
    <w:rsid w:val="006830BE"/>
    <w:rsid w:val="00683C0F"/>
    <w:rsid w:val="00686485"/>
    <w:rsid w:val="006868E5"/>
    <w:rsid w:val="00686B04"/>
    <w:rsid w:val="00686D3B"/>
    <w:rsid w:val="00690D11"/>
    <w:rsid w:val="00691BF1"/>
    <w:rsid w:val="00694224"/>
    <w:rsid w:val="006944DF"/>
    <w:rsid w:val="00695342"/>
    <w:rsid w:val="006A159D"/>
    <w:rsid w:val="006A52BF"/>
    <w:rsid w:val="006A57B6"/>
    <w:rsid w:val="006A60A4"/>
    <w:rsid w:val="006A7DEC"/>
    <w:rsid w:val="006B225E"/>
    <w:rsid w:val="006B3C22"/>
    <w:rsid w:val="006B55B0"/>
    <w:rsid w:val="006B74C1"/>
    <w:rsid w:val="006B76F2"/>
    <w:rsid w:val="006C03ED"/>
    <w:rsid w:val="006C2BD1"/>
    <w:rsid w:val="006C325F"/>
    <w:rsid w:val="006C46B3"/>
    <w:rsid w:val="006C4D18"/>
    <w:rsid w:val="006C65A1"/>
    <w:rsid w:val="006C6B85"/>
    <w:rsid w:val="006D11C3"/>
    <w:rsid w:val="006D155B"/>
    <w:rsid w:val="006D195B"/>
    <w:rsid w:val="006D2A60"/>
    <w:rsid w:val="006D3276"/>
    <w:rsid w:val="006D454C"/>
    <w:rsid w:val="006D724B"/>
    <w:rsid w:val="006D7761"/>
    <w:rsid w:val="006E0C59"/>
    <w:rsid w:val="006E1596"/>
    <w:rsid w:val="006E2C59"/>
    <w:rsid w:val="006E53BE"/>
    <w:rsid w:val="006E5A0F"/>
    <w:rsid w:val="006E6129"/>
    <w:rsid w:val="006E65F4"/>
    <w:rsid w:val="006F1479"/>
    <w:rsid w:val="006F278B"/>
    <w:rsid w:val="006F692A"/>
    <w:rsid w:val="006F6BE9"/>
    <w:rsid w:val="006F7FAB"/>
    <w:rsid w:val="0070032C"/>
    <w:rsid w:val="007017E0"/>
    <w:rsid w:val="0070451E"/>
    <w:rsid w:val="00704C1A"/>
    <w:rsid w:val="00707384"/>
    <w:rsid w:val="007100AC"/>
    <w:rsid w:val="00710131"/>
    <w:rsid w:val="00710680"/>
    <w:rsid w:val="007106AB"/>
    <w:rsid w:val="0071378F"/>
    <w:rsid w:val="00714882"/>
    <w:rsid w:val="00714945"/>
    <w:rsid w:val="00716FA3"/>
    <w:rsid w:val="007174AE"/>
    <w:rsid w:val="00717D94"/>
    <w:rsid w:val="00720B69"/>
    <w:rsid w:val="00722DF9"/>
    <w:rsid w:val="00722F33"/>
    <w:rsid w:val="0072340A"/>
    <w:rsid w:val="0072439F"/>
    <w:rsid w:val="007305EA"/>
    <w:rsid w:val="007316A2"/>
    <w:rsid w:val="00731C33"/>
    <w:rsid w:val="007325D7"/>
    <w:rsid w:val="00732774"/>
    <w:rsid w:val="00733741"/>
    <w:rsid w:val="00734DDC"/>
    <w:rsid w:val="00736A9F"/>
    <w:rsid w:val="00736BA7"/>
    <w:rsid w:val="00740656"/>
    <w:rsid w:val="007410E8"/>
    <w:rsid w:val="00741C1A"/>
    <w:rsid w:val="00743426"/>
    <w:rsid w:val="0074371F"/>
    <w:rsid w:val="00750664"/>
    <w:rsid w:val="00751D28"/>
    <w:rsid w:val="00754633"/>
    <w:rsid w:val="007549D3"/>
    <w:rsid w:val="007559FE"/>
    <w:rsid w:val="007565C8"/>
    <w:rsid w:val="00761D9B"/>
    <w:rsid w:val="0076597C"/>
    <w:rsid w:val="00765C62"/>
    <w:rsid w:val="00766F2E"/>
    <w:rsid w:val="00770481"/>
    <w:rsid w:val="007730D0"/>
    <w:rsid w:val="00775BB8"/>
    <w:rsid w:val="007760C5"/>
    <w:rsid w:val="0077694E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9FB"/>
    <w:rsid w:val="00786F9B"/>
    <w:rsid w:val="007872BB"/>
    <w:rsid w:val="00787629"/>
    <w:rsid w:val="00787F06"/>
    <w:rsid w:val="0079157A"/>
    <w:rsid w:val="00792B87"/>
    <w:rsid w:val="00794928"/>
    <w:rsid w:val="00796340"/>
    <w:rsid w:val="00796C00"/>
    <w:rsid w:val="00797740"/>
    <w:rsid w:val="007A137D"/>
    <w:rsid w:val="007A1527"/>
    <w:rsid w:val="007A3A13"/>
    <w:rsid w:val="007A4973"/>
    <w:rsid w:val="007A6E2E"/>
    <w:rsid w:val="007A706F"/>
    <w:rsid w:val="007B00E2"/>
    <w:rsid w:val="007B5073"/>
    <w:rsid w:val="007B6828"/>
    <w:rsid w:val="007C58A0"/>
    <w:rsid w:val="007C5AAE"/>
    <w:rsid w:val="007C6657"/>
    <w:rsid w:val="007D1E83"/>
    <w:rsid w:val="007D2475"/>
    <w:rsid w:val="007D2F9D"/>
    <w:rsid w:val="007D5C14"/>
    <w:rsid w:val="007D5D4D"/>
    <w:rsid w:val="007D7A4A"/>
    <w:rsid w:val="007D7F0B"/>
    <w:rsid w:val="007E0161"/>
    <w:rsid w:val="007E0995"/>
    <w:rsid w:val="007E10D9"/>
    <w:rsid w:val="007E5262"/>
    <w:rsid w:val="007E5A99"/>
    <w:rsid w:val="007E645A"/>
    <w:rsid w:val="007E7863"/>
    <w:rsid w:val="007F02DA"/>
    <w:rsid w:val="007F1251"/>
    <w:rsid w:val="007F1BE5"/>
    <w:rsid w:val="007F1F4C"/>
    <w:rsid w:val="007F2A9B"/>
    <w:rsid w:val="007F2B2E"/>
    <w:rsid w:val="007F33C9"/>
    <w:rsid w:val="007F3B47"/>
    <w:rsid w:val="007F4077"/>
    <w:rsid w:val="007F5025"/>
    <w:rsid w:val="007F61E3"/>
    <w:rsid w:val="007F77EA"/>
    <w:rsid w:val="007F7BD8"/>
    <w:rsid w:val="00801F35"/>
    <w:rsid w:val="00802C72"/>
    <w:rsid w:val="00803FE3"/>
    <w:rsid w:val="00804151"/>
    <w:rsid w:val="00804CF9"/>
    <w:rsid w:val="00805582"/>
    <w:rsid w:val="00805FF9"/>
    <w:rsid w:val="00806B8F"/>
    <w:rsid w:val="00806F89"/>
    <w:rsid w:val="0080703F"/>
    <w:rsid w:val="00810504"/>
    <w:rsid w:val="00812927"/>
    <w:rsid w:val="00812D59"/>
    <w:rsid w:val="00813C35"/>
    <w:rsid w:val="00817187"/>
    <w:rsid w:val="00820A40"/>
    <w:rsid w:val="00820D63"/>
    <w:rsid w:val="00821361"/>
    <w:rsid w:val="008214DA"/>
    <w:rsid w:val="00821A3D"/>
    <w:rsid w:val="00821D3E"/>
    <w:rsid w:val="0082347B"/>
    <w:rsid w:val="008238C6"/>
    <w:rsid w:val="0082427C"/>
    <w:rsid w:val="00824E25"/>
    <w:rsid w:val="00826F5F"/>
    <w:rsid w:val="008301DD"/>
    <w:rsid w:val="00832601"/>
    <w:rsid w:val="008327EE"/>
    <w:rsid w:val="00834D49"/>
    <w:rsid w:val="0083533D"/>
    <w:rsid w:val="00837729"/>
    <w:rsid w:val="00841CAA"/>
    <w:rsid w:val="008463B3"/>
    <w:rsid w:val="00847475"/>
    <w:rsid w:val="0084765F"/>
    <w:rsid w:val="008502E9"/>
    <w:rsid w:val="00852850"/>
    <w:rsid w:val="00855F14"/>
    <w:rsid w:val="00856EFF"/>
    <w:rsid w:val="00856F90"/>
    <w:rsid w:val="008577B6"/>
    <w:rsid w:val="00857918"/>
    <w:rsid w:val="0086027F"/>
    <w:rsid w:val="0086062D"/>
    <w:rsid w:val="00860D15"/>
    <w:rsid w:val="008637C5"/>
    <w:rsid w:val="00865F73"/>
    <w:rsid w:val="00866E7E"/>
    <w:rsid w:val="0087068E"/>
    <w:rsid w:val="00871579"/>
    <w:rsid w:val="00872D9D"/>
    <w:rsid w:val="00873541"/>
    <w:rsid w:val="00874118"/>
    <w:rsid w:val="00874368"/>
    <w:rsid w:val="00875BAD"/>
    <w:rsid w:val="00876338"/>
    <w:rsid w:val="00880B99"/>
    <w:rsid w:val="00882A06"/>
    <w:rsid w:val="00885839"/>
    <w:rsid w:val="008861AE"/>
    <w:rsid w:val="00886357"/>
    <w:rsid w:val="00892BD6"/>
    <w:rsid w:val="00893E3D"/>
    <w:rsid w:val="00893E77"/>
    <w:rsid w:val="0089674B"/>
    <w:rsid w:val="008A2851"/>
    <w:rsid w:val="008A41CB"/>
    <w:rsid w:val="008A5615"/>
    <w:rsid w:val="008A5BDE"/>
    <w:rsid w:val="008A7717"/>
    <w:rsid w:val="008B147D"/>
    <w:rsid w:val="008B1EA9"/>
    <w:rsid w:val="008B5911"/>
    <w:rsid w:val="008B5E57"/>
    <w:rsid w:val="008B5F19"/>
    <w:rsid w:val="008B72BD"/>
    <w:rsid w:val="008C3539"/>
    <w:rsid w:val="008C387A"/>
    <w:rsid w:val="008C5FBF"/>
    <w:rsid w:val="008D0E47"/>
    <w:rsid w:val="008D1815"/>
    <w:rsid w:val="008D2711"/>
    <w:rsid w:val="008D2DA1"/>
    <w:rsid w:val="008D316D"/>
    <w:rsid w:val="008D3A58"/>
    <w:rsid w:val="008D4FA7"/>
    <w:rsid w:val="008D55AE"/>
    <w:rsid w:val="008D6055"/>
    <w:rsid w:val="008D7199"/>
    <w:rsid w:val="008E0646"/>
    <w:rsid w:val="008E1E69"/>
    <w:rsid w:val="008E207E"/>
    <w:rsid w:val="008F2CD9"/>
    <w:rsid w:val="008F3210"/>
    <w:rsid w:val="008F428F"/>
    <w:rsid w:val="008F53A7"/>
    <w:rsid w:val="008F54C9"/>
    <w:rsid w:val="008F5DAB"/>
    <w:rsid w:val="008F684A"/>
    <w:rsid w:val="008F7080"/>
    <w:rsid w:val="008F708A"/>
    <w:rsid w:val="009001A8"/>
    <w:rsid w:val="009033B2"/>
    <w:rsid w:val="009054B0"/>
    <w:rsid w:val="00905FD3"/>
    <w:rsid w:val="00906074"/>
    <w:rsid w:val="00906F74"/>
    <w:rsid w:val="00907715"/>
    <w:rsid w:val="0091039F"/>
    <w:rsid w:val="0091161C"/>
    <w:rsid w:val="009127A1"/>
    <w:rsid w:val="0091305D"/>
    <w:rsid w:val="009142A9"/>
    <w:rsid w:val="009153EB"/>
    <w:rsid w:val="00921060"/>
    <w:rsid w:val="009226B1"/>
    <w:rsid w:val="00924965"/>
    <w:rsid w:val="00924BED"/>
    <w:rsid w:val="0093140E"/>
    <w:rsid w:val="009322AE"/>
    <w:rsid w:val="00932EB9"/>
    <w:rsid w:val="00933027"/>
    <w:rsid w:val="00933BF9"/>
    <w:rsid w:val="00935539"/>
    <w:rsid w:val="009355E0"/>
    <w:rsid w:val="00935F87"/>
    <w:rsid w:val="009363E4"/>
    <w:rsid w:val="009411F8"/>
    <w:rsid w:val="00945548"/>
    <w:rsid w:val="0094612E"/>
    <w:rsid w:val="00947234"/>
    <w:rsid w:val="00952B35"/>
    <w:rsid w:val="009534C7"/>
    <w:rsid w:val="009566BD"/>
    <w:rsid w:val="00956FA3"/>
    <w:rsid w:val="00961B7F"/>
    <w:rsid w:val="0096244E"/>
    <w:rsid w:val="0096318E"/>
    <w:rsid w:val="0096483D"/>
    <w:rsid w:val="0096516D"/>
    <w:rsid w:val="009658BF"/>
    <w:rsid w:val="00973FCC"/>
    <w:rsid w:val="00974C74"/>
    <w:rsid w:val="0097723C"/>
    <w:rsid w:val="009808DD"/>
    <w:rsid w:val="00982F19"/>
    <w:rsid w:val="00983423"/>
    <w:rsid w:val="0098361D"/>
    <w:rsid w:val="00983961"/>
    <w:rsid w:val="009870DD"/>
    <w:rsid w:val="009901A2"/>
    <w:rsid w:val="00991042"/>
    <w:rsid w:val="009919C9"/>
    <w:rsid w:val="00994DA0"/>
    <w:rsid w:val="00994F55"/>
    <w:rsid w:val="00995AFE"/>
    <w:rsid w:val="00997E04"/>
    <w:rsid w:val="009A09D0"/>
    <w:rsid w:val="009A0E60"/>
    <w:rsid w:val="009A1600"/>
    <w:rsid w:val="009A37C5"/>
    <w:rsid w:val="009A6042"/>
    <w:rsid w:val="009A6872"/>
    <w:rsid w:val="009A7D6D"/>
    <w:rsid w:val="009B0FF5"/>
    <w:rsid w:val="009B1FB1"/>
    <w:rsid w:val="009B2632"/>
    <w:rsid w:val="009B3902"/>
    <w:rsid w:val="009B39F5"/>
    <w:rsid w:val="009B3C00"/>
    <w:rsid w:val="009B4D8F"/>
    <w:rsid w:val="009B57CF"/>
    <w:rsid w:val="009C0E74"/>
    <w:rsid w:val="009C1132"/>
    <w:rsid w:val="009C1D10"/>
    <w:rsid w:val="009C2A03"/>
    <w:rsid w:val="009D137A"/>
    <w:rsid w:val="009D14B3"/>
    <w:rsid w:val="009D2D81"/>
    <w:rsid w:val="009D35CC"/>
    <w:rsid w:val="009D7725"/>
    <w:rsid w:val="009E3D5E"/>
    <w:rsid w:val="009E53FD"/>
    <w:rsid w:val="009E5743"/>
    <w:rsid w:val="009E5981"/>
    <w:rsid w:val="009E7039"/>
    <w:rsid w:val="009F0EF9"/>
    <w:rsid w:val="009F122C"/>
    <w:rsid w:val="009F16DD"/>
    <w:rsid w:val="009F44B0"/>
    <w:rsid w:val="00A003C7"/>
    <w:rsid w:val="00A01E4B"/>
    <w:rsid w:val="00A02507"/>
    <w:rsid w:val="00A0357D"/>
    <w:rsid w:val="00A03D89"/>
    <w:rsid w:val="00A04764"/>
    <w:rsid w:val="00A04B06"/>
    <w:rsid w:val="00A0516B"/>
    <w:rsid w:val="00A0666D"/>
    <w:rsid w:val="00A0683D"/>
    <w:rsid w:val="00A069BE"/>
    <w:rsid w:val="00A074E7"/>
    <w:rsid w:val="00A07F89"/>
    <w:rsid w:val="00A106B1"/>
    <w:rsid w:val="00A139A8"/>
    <w:rsid w:val="00A13EC0"/>
    <w:rsid w:val="00A160B4"/>
    <w:rsid w:val="00A1673F"/>
    <w:rsid w:val="00A17322"/>
    <w:rsid w:val="00A17891"/>
    <w:rsid w:val="00A209FA"/>
    <w:rsid w:val="00A2149B"/>
    <w:rsid w:val="00A301BE"/>
    <w:rsid w:val="00A31755"/>
    <w:rsid w:val="00A351A2"/>
    <w:rsid w:val="00A356CF"/>
    <w:rsid w:val="00A35900"/>
    <w:rsid w:val="00A41C4D"/>
    <w:rsid w:val="00A42E6C"/>
    <w:rsid w:val="00A430F5"/>
    <w:rsid w:val="00A44329"/>
    <w:rsid w:val="00A45008"/>
    <w:rsid w:val="00A45D0D"/>
    <w:rsid w:val="00A51180"/>
    <w:rsid w:val="00A5132E"/>
    <w:rsid w:val="00A52D44"/>
    <w:rsid w:val="00A52FDF"/>
    <w:rsid w:val="00A5378F"/>
    <w:rsid w:val="00A5453F"/>
    <w:rsid w:val="00A62E1E"/>
    <w:rsid w:val="00A63775"/>
    <w:rsid w:val="00A6406E"/>
    <w:rsid w:val="00A67234"/>
    <w:rsid w:val="00A70EE9"/>
    <w:rsid w:val="00A71985"/>
    <w:rsid w:val="00A7493E"/>
    <w:rsid w:val="00A74FB7"/>
    <w:rsid w:val="00A76685"/>
    <w:rsid w:val="00A76C28"/>
    <w:rsid w:val="00A80210"/>
    <w:rsid w:val="00A8424D"/>
    <w:rsid w:val="00A843AA"/>
    <w:rsid w:val="00A84CF1"/>
    <w:rsid w:val="00A90093"/>
    <w:rsid w:val="00A903EF"/>
    <w:rsid w:val="00A9151F"/>
    <w:rsid w:val="00A91AA1"/>
    <w:rsid w:val="00A91B57"/>
    <w:rsid w:val="00A91E75"/>
    <w:rsid w:val="00A9228A"/>
    <w:rsid w:val="00A93DFD"/>
    <w:rsid w:val="00A9405A"/>
    <w:rsid w:val="00A95F64"/>
    <w:rsid w:val="00A97841"/>
    <w:rsid w:val="00A97DB7"/>
    <w:rsid w:val="00A97EDF"/>
    <w:rsid w:val="00AA0229"/>
    <w:rsid w:val="00AA15CF"/>
    <w:rsid w:val="00AA2C75"/>
    <w:rsid w:val="00AA443B"/>
    <w:rsid w:val="00AA5948"/>
    <w:rsid w:val="00AA7230"/>
    <w:rsid w:val="00AB03A7"/>
    <w:rsid w:val="00AB15E8"/>
    <w:rsid w:val="00AB1EE5"/>
    <w:rsid w:val="00AB32A9"/>
    <w:rsid w:val="00AB38AE"/>
    <w:rsid w:val="00AB66A8"/>
    <w:rsid w:val="00AB685F"/>
    <w:rsid w:val="00AC0327"/>
    <w:rsid w:val="00AC16B9"/>
    <w:rsid w:val="00AC19E1"/>
    <w:rsid w:val="00AC3F38"/>
    <w:rsid w:val="00AC79AA"/>
    <w:rsid w:val="00AD06B7"/>
    <w:rsid w:val="00AD3240"/>
    <w:rsid w:val="00AD47F1"/>
    <w:rsid w:val="00AD5479"/>
    <w:rsid w:val="00AD7728"/>
    <w:rsid w:val="00AE028C"/>
    <w:rsid w:val="00AE0B4D"/>
    <w:rsid w:val="00AE10BE"/>
    <w:rsid w:val="00AE3BD0"/>
    <w:rsid w:val="00AE3C0F"/>
    <w:rsid w:val="00AE5EEC"/>
    <w:rsid w:val="00AE620A"/>
    <w:rsid w:val="00AE7DE9"/>
    <w:rsid w:val="00AF1226"/>
    <w:rsid w:val="00AF1F2B"/>
    <w:rsid w:val="00AF34B4"/>
    <w:rsid w:val="00AF3A08"/>
    <w:rsid w:val="00AF4554"/>
    <w:rsid w:val="00AF49C4"/>
    <w:rsid w:val="00AF4D51"/>
    <w:rsid w:val="00AF52C3"/>
    <w:rsid w:val="00B01ED3"/>
    <w:rsid w:val="00B02530"/>
    <w:rsid w:val="00B02E8E"/>
    <w:rsid w:val="00B039E1"/>
    <w:rsid w:val="00B12D17"/>
    <w:rsid w:val="00B1342F"/>
    <w:rsid w:val="00B13A5E"/>
    <w:rsid w:val="00B17E58"/>
    <w:rsid w:val="00B2044E"/>
    <w:rsid w:val="00B207FB"/>
    <w:rsid w:val="00B214BE"/>
    <w:rsid w:val="00B2509A"/>
    <w:rsid w:val="00B30641"/>
    <w:rsid w:val="00B30C7C"/>
    <w:rsid w:val="00B31DFD"/>
    <w:rsid w:val="00B3571B"/>
    <w:rsid w:val="00B36581"/>
    <w:rsid w:val="00B366DC"/>
    <w:rsid w:val="00B37A0B"/>
    <w:rsid w:val="00B37A8A"/>
    <w:rsid w:val="00B40F70"/>
    <w:rsid w:val="00B41495"/>
    <w:rsid w:val="00B41643"/>
    <w:rsid w:val="00B45E30"/>
    <w:rsid w:val="00B46668"/>
    <w:rsid w:val="00B4667E"/>
    <w:rsid w:val="00B46EA0"/>
    <w:rsid w:val="00B50D24"/>
    <w:rsid w:val="00B53F72"/>
    <w:rsid w:val="00B62CAB"/>
    <w:rsid w:val="00B6518F"/>
    <w:rsid w:val="00B6687D"/>
    <w:rsid w:val="00B70983"/>
    <w:rsid w:val="00B70C26"/>
    <w:rsid w:val="00B7239B"/>
    <w:rsid w:val="00B73498"/>
    <w:rsid w:val="00B74BD9"/>
    <w:rsid w:val="00B75B25"/>
    <w:rsid w:val="00B75C57"/>
    <w:rsid w:val="00B8125D"/>
    <w:rsid w:val="00B8467B"/>
    <w:rsid w:val="00B84C87"/>
    <w:rsid w:val="00B87992"/>
    <w:rsid w:val="00B927CA"/>
    <w:rsid w:val="00B94E2E"/>
    <w:rsid w:val="00B960A0"/>
    <w:rsid w:val="00BA3609"/>
    <w:rsid w:val="00BA5C89"/>
    <w:rsid w:val="00BA6E0B"/>
    <w:rsid w:val="00BA6E36"/>
    <w:rsid w:val="00BB3022"/>
    <w:rsid w:val="00BB3720"/>
    <w:rsid w:val="00BB5F9B"/>
    <w:rsid w:val="00BB7AC5"/>
    <w:rsid w:val="00BC1071"/>
    <w:rsid w:val="00BC1886"/>
    <w:rsid w:val="00BC1B5B"/>
    <w:rsid w:val="00BC4265"/>
    <w:rsid w:val="00BC4729"/>
    <w:rsid w:val="00BC604F"/>
    <w:rsid w:val="00BC62FB"/>
    <w:rsid w:val="00BD16B2"/>
    <w:rsid w:val="00BD1772"/>
    <w:rsid w:val="00BD3518"/>
    <w:rsid w:val="00BD433C"/>
    <w:rsid w:val="00BD5A25"/>
    <w:rsid w:val="00BD5D83"/>
    <w:rsid w:val="00BE007F"/>
    <w:rsid w:val="00BE06E7"/>
    <w:rsid w:val="00BE259B"/>
    <w:rsid w:val="00BE30F3"/>
    <w:rsid w:val="00BE37D8"/>
    <w:rsid w:val="00BE4F0D"/>
    <w:rsid w:val="00BE6A8A"/>
    <w:rsid w:val="00BE6E7B"/>
    <w:rsid w:val="00BF0EA2"/>
    <w:rsid w:val="00BF1CD8"/>
    <w:rsid w:val="00BF3AC0"/>
    <w:rsid w:val="00BF5158"/>
    <w:rsid w:val="00BF547E"/>
    <w:rsid w:val="00BF6EAB"/>
    <w:rsid w:val="00C01EC9"/>
    <w:rsid w:val="00C04111"/>
    <w:rsid w:val="00C04163"/>
    <w:rsid w:val="00C11910"/>
    <w:rsid w:val="00C11BD6"/>
    <w:rsid w:val="00C1428B"/>
    <w:rsid w:val="00C161A8"/>
    <w:rsid w:val="00C173FA"/>
    <w:rsid w:val="00C1776B"/>
    <w:rsid w:val="00C20CCC"/>
    <w:rsid w:val="00C20D6B"/>
    <w:rsid w:val="00C223F7"/>
    <w:rsid w:val="00C22DF7"/>
    <w:rsid w:val="00C23901"/>
    <w:rsid w:val="00C239BA"/>
    <w:rsid w:val="00C26A00"/>
    <w:rsid w:val="00C27559"/>
    <w:rsid w:val="00C3095F"/>
    <w:rsid w:val="00C33FD7"/>
    <w:rsid w:val="00C33FDE"/>
    <w:rsid w:val="00C34A39"/>
    <w:rsid w:val="00C37097"/>
    <w:rsid w:val="00C41ED6"/>
    <w:rsid w:val="00C41FD4"/>
    <w:rsid w:val="00C42B9F"/>
    <w:rsid w:val="00C467BB"/>
    <w:rsid w:val="00C501E5"/>
    <w:rsid w:val="00C50CDE"/>
    <w:rsid w:val="00C55BA7"/>
    <w:rsid w:val="00C56F27"/>
    <w:rsid w:val="00C6684A"/>
    <w:rsid w:val="00C66A00"/>
    <w:rsid w:val="00C675C9"/>
    <w:rsid w:val="00C71690"/>
    <w:rsid w:val="00C735E0"/>
    <w:rsid w:val="00C73B66"/>
    <w:rsid w:val="00C73E96"/>
    <w:rsid w:val="00C76380"/>
    <w:rsid w:val="00C76FC4"/>
    <w:rsid w:val="00C77402"/>
    <w:rsid w:val="00C82076"/>
    <w:rsid w:val="00C83727"/>
    <w:rsid w:val="00C83A52"/>
    <w:rsid w:val="00C84F59"/>
    <w:rsid w:val="00C929CD"/>
    <w:rsid w:val="00C9330C"/>
    <w:rsid w:val="00C94D2B"/>
    <w:rsid w:val="00C94DDE"/>
    <w:rsid w:val="00CA01FA"/>
    <w:rsid w:val="00CA07EF"/>
    <w:rsid w:val="00CA280C"/>
    <w:rsid w:val="00CA2982"/>
    <w:rsid w:val="00CA2C19"/>
    <w:rsid w:val="00CA420E"/>
    <w:rsid w:val="00CA432D"/>
    <w:rsid w:val="00CA4B48"/>
    <w:rsid w:val="00CA5C9A"/>
    <w:rsid w:val="00CA6F3C"/>
    <w:rsid w:val="00CA7E21"/>
    <w:rsid w:val="00CB00E4"/>
    <w:rsid w:val="00CB011B"/>
    <w:rsid w:val="00CB0481"/>
    <w:rsid w:val="00CB0876"/>
    <w:rsid w:val="00CB11FF"/>
    <w:rsid w:val="00CB1E19"/>
    <w:rsid w:val="00CB4180"/>
    <w:rsid w:val="00CB47B7"/>
    <w:rsid w:val="00CB5EA4"/>
    <w:rsid w:val="00CB7A7C"/>
    <w:rsid w:val="00CC0E20"/>
    <w:rsid w:val="00CC1B39"/>
    <w:rsid w:val="00CC1C9F"/>
    <w:rsid w:val="00CC3B2D"/>
    <w:rsid w:val="00CC3D1F"/>
    <w:rsid w:val="00CD0247"/>
    <w:rsid w:val="00CD0E86"/>
    <w:rsid w:val="00CD1821"/>
    <w:rsid w:val="00CD30BC"/>
    <w:rsid w:val="00CD3E72"/>
    <w:rsid w:val="00CD467D"/>
    <w:rsid w:val="00CD591D"/>
    <w:rsid w:val="00CD6885"/>
    <w:rsid w:val="00CE07B8"/>
    <w:rsid w:val="00CE12D0"/>
    <w:rsid w:val="00CE15E7"/>
    <w:rsid w:val="00CE1723"/>
    <w:rsid w:val="00CE19FA"/>
    <w:rsid w:val="00CE1E1E"/>
    <w:rsid w:val="00CE41F8"/>
    <w:rsid w:val="00CE5D48"/>
    <w:rsid w:val="00CE6C76"/>
    <w:rsid w:val="00CF026E"/>
    <w:rsid w:val="00CF2583"/>
    <w:rsid w:val="00CF3FC3"/>
    <w:rsid w:val="00CF4BA9"/>
    <w:rsid w:val="00D00918"/>
    <w:rsid w:val="00D00BD9"/>
    <w:rsid w:val="00D02013"/>
    <w:rsid w:val="00D03089"/>
    <w:rsid w:val="00D03C3C"/>
    <w:rsid w:val="00D04A43"/>
    <w:rsid w:val="00D05C4D"/>
    <w:rsid w:val="00D07064"/>
    <w:rsid w:val="00D07899"/>
    <w:rsid w:val="00D104B7"/>
    <w:rsid w:val="00D106CE"/>
    <w:rsid w:val="00D10E4D"/>
    <w:rsid w:val="00D11AC8"/>
    <w:rsid w:val="00D11C0C"/>
    <w:rsid w:val="00D12FA5"/>
    <w:rsid w:val="00D1356C"/>
    <w:rsid w:val="00D13E69"/>
    <w:rsid w:val="00D14767"/>
    <w:rsid w:val="00D17263"/>
    <w:rsid w:val="00D1729F"/>
    <w:rsid w:val="00D17780"/>
    <w:rsid w:val="00D2022A"/>
    <w:rsid w:val="00D207B9"/>
    <w:rsid w:val="00D215F3"/>
    <w:rsid w:val="00D22602"/>
    <w:rsid w:val="00D22A02"/>
    <w:rsid w:val="00D22ACB"/>
    <w:rsid w:val="00D22D5C"/>
    <w:rsid w:val="00D277D2"/>
    <w:rsid w:val="00D31410"/>
    <w:rsid w:val="00D3328A"/>
    <w:rsid w:val="00D3357D"/>
    <w:rsid w:val="00D34268"/>
    <w:rsid w:val="00D354ED"/>
    <w:rsid w:val="00D44D2D"/>
    <w:rsid w:val="00D44FC7"/>
    <w:rsid w:val="00D508AA"/>
    <w:rsid w:val="00D50F78"/>
    <w:rsid w:val="00D5550A"/>
    <w:rsid w:val="00D56E60"/>
    <w:rsid w:val="00D57300"/>
    <w:rsid w:val="00D60FCB"/>
    <w:rsid w:val="00D6162C"/>
    <w:rsid w:val="00D616A6"/>
    <w:rsid w:val="00D617C5"/>
    <w:rsid w:val="00D63776"/>
    <w:rsid w:val="00D63C35"/>
    <w:rsid w:val="00D66516"/>
    <w:rsid w:val="00D77F29"/>
    <w:rsid w:val="00D81B8F"/>
    <w:rsid w:val="00D845AF"/>
    <w:rsid w:val="00D8536D"/>
    <w:rsid w:val="00D855B4"/>
    <w:rsid w:val="00D92827"/>
    <w:rsid w:val="00D96BC6"/>
    <w:rsid w:val="00D96D26"/>
    <w:rsid w:val="00D97F49"/>
    <w:rsid w:val="00DA28EA"/>
    <w:rsid w:val="00DA50A7"/>
    <w:rsid w:val="00DA641B"/>
    <w:rsid w:val="00DA6500"/>
    <w:rsid w:val="00DB082D"/>
    <w:rsid w:val="00DB128B"/>
    <w:rsid w:val="00DB1B0B"/>
    <w:rsid w:val="00DB505C"/>
    <w:rsid w:val="00DB519F"/>
    <w:rsid w:val="00DB659C"/>
    <w:rsid w:val="00DB66EF"/>
    <w:rsid w:val="00DB7645"/>
    <w:rsid w:val="00DB7970"/>
    <w:rsid w:val="00DC1659"/>
    <w:rsid w:val="00DC244A"/>
    <w:rsid w:val="00DC2FC5"/>
    <w:rsid w:val="00DC39F6"/>
    <w:rsid w:val="00DC3D51"/>
    <w:rsid w:val="00DC404F"/>
    <w:rsid w:val="00DC5174"/>
    <w:rsid w:val="00DC598A"/>
    <w:rsid w:val="00DC7482"/>
    <w:rsid w:val="00DD0845"/>
    <w:rsid w:val="00DD1FCB"/>
    <w:rsid w:val="00DD20EB"/>
    <w:rsid w:val="00DD2BDA"/>
    <w:rsid w:val="00DD34A5"/>
    <w:rsid w:val="00DD3507"/>
    <w:rsid w:val="00DD39E4"/>
    <w:rsid w:val="00DD6496"/>
    <w:rsid w:val="00DD6728"/>
    <w:rsid w:val="00DD72D9"/>
    <w:rsid w:val="00DE0275"/>
    <w:rsid w:val="00DE09AA"/>
    <w:rsid w:val="00DE5161"/>
    <w:rsid w:val="00DE5329"/>
    <w:rsid w:val="00DE5601"/>
    <w:rsid w:val="00DE7B24"/>
    <w:rsid w:val="00DF0E47"/>
    <w:rsid w:val="00DF11E6"/>
    <w:rsid w:val="00DF3B7E"/>
    <w:rsid w:val="00DF4880"/>
    <w:rsid w:val="00DF57FE"/>
    <w:rsid w:val="00DF5AB2"/>
    <w:rsid w:val="00DF6E44"/>
    <w:rsid w:val="00DF7250"/>
    <w:rsid w:val="00E027DF"/>
    <w:rsid w:val="00E02BD6"/>
    <w:rsid w:val="00E03505"/>
    <w:rsid w:val="00E06455"/>
    <w:rsid w:val="00E06E8E"/>
    <w:rsid w:val="00E110F4"/>
    <w:rsid w:val="00E13745"/>
    <w:rsid w:val="00E1690E"/>
    <w:rsid w:val="00E20352"/>
    <w:rsid w:val="00E22EC4"/>
    <w:rsid w:val="00E2306C"/>
    <w:rsid w:val="00E24554"/>
    <w:rsid w:val="00E25BD5"/>
    <w:rsid w:val="00E26865"/>
    <w:rsid w:val="00E31428"/>
    <w:rsid w:val="00E3196E"/>
    <w:rsid w:val="00E31CA3"/>
    <w:rsid w:val="00E31E4A"/>
    <w:rsid w:val="00E3275B"/>
    <w:rsid w:val="00E33494"/>
    <w:rsid w:val="00E40F4A"/>
    <w:rsid w:val="00E43764"/>
    <w:rsid w:val="00E437BE"/>
    <w:rsid w:val="00E4428D"/>
    <w:rsid w:val="00E446AE"/>
    <w:rsid w:val="00E45C15"/>
    <w:rsid w:val="00E47972"/>
    <w:rsid w:val="00E47F4E"/>
    <w:rsid w:val="00E50D02"/>
    <w:rsid w:val="00E51674"/>
    <w:rsid w:val="00E51F11"/>
    <w:rsid w:val="00E526BA"/>
    <w:rsid w:val="00E526D9"/>
    <w:rsid w:val="00E54824"/>
    <w:rsid w:val="00E56B12"/>
    <w:rsid w:val="00E6047D"/>
    <w:rsid w:val="00E6053C"/>
    <w:rsid w:val="00E607E4"/>
    <w:rsid w:val="00E613C0"/>
    <w:rsid w:val="00E617FA"/>
    <w:rsid w:val="00E62D9B"/>
    <w:rsid w:val="00E64363"/>
    <w:rsid w:val="00E65D34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583"/>
    <w:rsid w:val="00E816D5"/>
    <w:rsid w:val="00E81FBA"/>
    <w:rsid w:val="00E84152"/>
    <w:rsid w:val="00E846D2"/>
    <w:rsid w:val="00E848B6"/>
    <w:rsid w:val="00E862BC"/>
    <w:rsid w:val="00E86C7C"/>
    <w:rsid w:val="00E919BC"/>
    <w:rsid w:val="00E93348"/>
    <w:rsid w:val="00E94CAA"/>
    <w:rsid w:val="00E952FD"/>
    <w:rsid w:val="00EA2069"/>
    <w:rsid w:val="00EA2DD4"/>
    <w:rsid w:val="00EA33BD"/>
    <w:rsid w:val="00EA41BB"/>
    <w:rsid w:val="00EA59AB"/>
    <w:rsid w:val="00EA5EB0"/>
    <w:rsid w:val="00EB2802"/>
    <w:rsid w:val="00EB3D9A"/>
    <w:rsid w:val="00EB4773"/>
    <w:rsid w:val="00EB5B3D"/>
    <w:rsid w:val="00EC045B"/>
    <w:rsid w:val="00EC1407"/>
    <w:rsid w:val="00EC1983"/>
    <w:rsid w:val="00EC2F26"/>
    <w:rsid w:val="00EC4FCB"/>
    <w:rsid w:val="00EC60F7"/>
    <w:rsid w:val="00EC6FF5"/>
    <w:rsid w:val="00ED2623"/>
    <w:rsid w:val="00ED3BEE"/>
    <w:rsid w:val="00ED5333"/>
    <w:rsid w:val="00ED5A7D"/>
    <w:rsid w:val="00ED5CC2"/>
    <w:rsid w:val="00ED6D5C"/>
    <w:rsid w:val="00EE553B"/>
    <w:rsid w:val="00EE63E4"/>
    <w:rsid w:val="00EE6A38"/>
    <w:rsid w:val="00EE6F89"/>
    <w:rsid w:val="00EF2D29"/>
    <w:rsid w:val="00EF469E"/>
    <w:rsid w:val="00EF62A3"/>
    <w:rsid w:val="00EF7142"/>
    <w:rsid w:val="00EF7ACF"/>
    <w:rsid w:val="00F00670"/>
    <w:rsid w:val="00F05356"/>
    <w:rsid w:val="00F058F4"/>
    <w:rsid w:val="00F05C08"/>
    <w:rsid w:val="00F103D7"/>
    <w:rsid w:val="00F10973"/>
    <w:rsid w:val="00F113CA"/>
    <w:rsid w:val="00F1249A"/>
    <w:rsid w:val="00F13122"/>
    <w:rsid w:val="00F136A6"/>
    <w:rsid w:val="00F13710"/>
    <w:rsid w:val="00F1486F"/>
    <w:rsid w:val="00F1689A"/>
    <w:rsid w:val="00F16DF3"/>
    <w:rsid w:val="00F17C3C"/>
    <w:rsid w:val="00F201A9"/>
    <w:rsid w:val="00F2314A"/>
    <w:rsid w:val="00F27CCA"/>
    <w:rsid w:val="00F30096"/>
    <w:rsid w:val="00F30660"/>
    <w:rsid w:val="00F341F4"/>
    <w:rsid w:val="00F34DF6"/>
    <w:rsid w:val="00F351E1"/>
    <w:rsid w:val="00F35B3D"/>
    <w:rsid w:val="00F36024"/>
    <w:rsid w:val="00F367CB"/>
    <w:rsid w:val="00F43B98"/>
    <w:rsid w:val="00F45E6D"/>
    <w:rsid w:val="00F4644F"/>
    <w:rsid w:val="00F50069"/>
    <w:rsid w:val="00F50CFF"/>
    <w:rsid w:val="00F5164C"/>
    <w:rsid w:val="00F53649"/>
    <w:rsid w:val="00F53AE4"/>
    <w:rsid w:val="00F53D34"/>
    <w:rsid w:val="00F55EC3"/>
    <w:rsid w:val="00F60D33"/>
    <w:rsid w:val="00F64EEA"/>
    <w:rsid w:val="00F65EBC"/>
    <w:rsid w:val="00F663B8"/>
    <w:rsid w:val="00F66A45"/>
    <w:rsid w:val="00F700DD"/>
    <w:rsid w:val="00F70D1A"/>
    <w:rsid w:val="00F73CDC"/>
    <w:rsid w:val="00F74CC4"/>
    <w:rsid w:val="00F75AD9"/>
    <w:rsid w:val="00F77EC4"/>
    <w:rsid w:val="00F82244"/>
    <w:rsid w:val="00F8462E"/>
    <w:rsid w:val="00F85F1D"/>
    <w:rsid w:val="00F87337"/>
    <w:rsid w:val="00F90FF6"/>
    <w:rsid w:val="00F939AF"/>
    <w:rsid w:val="00F9487F"/>
    <w:rsid w:val="00F94A29"/>
    <w:rsid w:val="00FA1550"/>
    <w:rsid w:val="00FA350F"/>
    <w:rsid w:val="00FA38AB"/>
    <w:rsid w:val="00FA509F"/>
    <w:rsid w:val="00FA58BA"/>
    <w:rsid w:val="00FA6059"/>
    <w:rsid w:val="00FA64FE"/>
    <w:rsid w:val="00FA6AFA"/>
    <w:rsid w:val="00FB0A00"/>
    <w:rsid w:val="00FB4DA0"/>
    <w:rsid w:val="00FB51B7"/>
    <w:rsid w:val="00FB5271"/>
    <w:rsid w:val="00FC010F"/>
    <w:rsid w:val="00FC3A3F"/>
    <w:rsid w:val="00FC5E2B"/>
    <w:rsid w:val="00FC6F39"/>
    <w:rsid w:val="00FC6F7E"/>
    <w:rsid w:val="00FD16A9"/>
    <w:rsid w:val="00FD3017"/>
    <w:rsid w:val="00FD384C"/>
    <w:rsid w:val="00FD3B20"/>
    <w:rsid w:val="00FD3DA4"/>
    <w:rsid w:val="00FD69CD"/>
    <w:rsid w:val="00FE0403"/>
    <w:rsid w:val="00FE286F"/>
    <w:rsid w:val="00FE2B5D"/>
    <w:rsid w:val="00FE556E"/>
    <w:rsid w:val="00FE670E"/>
    <w:rsid w:val="00FF0C7B"/>
    <w:rsid w:val="00FF2211"/>
    <w:rsid w:val="00FF50C1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554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5554F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28A"/>
  </w:style>
  <w:style w:type="paragraph" w:styleId="a7">
    <w:name w:val="footer"/>
    <w:basedOn w:val="a"/>
    <w:link w:val="a8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28A"/>
  </w:style>
  <w:style w:type="paragraph" w:styleId="a9">
    <w:name w:val="List Paragraph"/>
    <w:basedOn w:val="a"/>
    <w:uiPriority w:val="34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136A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36A6"/>
  </w:style>
  <w:style w:type="character" w:customStyle="1" w:styleId="st">
    <w:name w:val="st"/>
    <w:basedOn w:val="a0"/>
    <w:rsid w:val="00775BB8"/>
  </w:style>
  <w:style w:type="character" w:styleId="ac">
    <w:name w:val="Emphasis"/>
    <w:basedOn w:val="a0"/>
    <w:uiPriority w:val="20"/>
    <w:qFormat/>
    <w:rsid w:val="00775B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554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5554F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28A"/>
  </w:style>
  <w:style w:type="paragraph" w:styleId="a7">
    <w:name w:val="footer"/>
    <w:basedOn w:val="a"/>
    <w:link w:val="a8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28A"/>
  </w:style>
  <w:style w:type="paragraph" w:styleId="a9">
    <w:name w:val="List Paragraph"/>
    <w:basedOn w:val="a"/>
    <w:uiPriority w:val="34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136A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36A6"/>
  </w:style>
  <w:style w:type="character" w:customStyle="1" w:styleId="st">
    <w:name w:val="st"/>
    <w:basedOn w:val="a0"/>
    <w:rsid w:val="00775BB8"/>
  </w:style>
  <w:style w:type="character" w:styleId="ac">
    <w:name w:val="Emphasis"/>
    <w:basedOn w:val="a0"/>
    <w:uiPriority w:val="20"/>
    <w:qFormat/>
    <w:rsid w:val="00775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7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diagramQuickStyle" Target="diagrams/quickStyle6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42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microsoft.com/office/2007/relationships/diagramDrawing" Target="diagrams/drawing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Рис. 1. Динаміка надходжень загального та спеціального фондів </a:t>
            </a:r>
            <a:r>
              <a:rPr lang="uk-UA" sz="1800" b="1" i="0" u="none" strike="noStrike" baseline="0">
                <a:effectLst/>
              </a:rPr>
              <a:t>за 2018 -2019 роки</a:t>
            </a:r>
            <a:r>
              <a:rPr lang="uk-UA"/>
              <a:t> </a:t>
            </a:r>
          </a:p>
          <a:p>
            <a:pPr>
              <a:defRPr/>
            </a:pPr>
            <a:r>
              <a:rPr lang="uk-UA"/>
              <a:t>                </a:t>
            </a:r>
            <a:br>
              <a:rPr lang="uk-UA"/>
            </a:br>
            <a:endParaRPr lang="uk-UA"/>
          </a:p>
        </c:rich>
      </c:tx>
      <c:layout>
        <c:manualLayout>
          <c:xMode val="edge"/>
          <c:yMode val="edge"/>
          <c:x val="0.12727395742198891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074074074074077E-3"/>
          <c:y val="0.22709094565536872"/>
          <c:w val="0.95111111111111113"/>
          <c:h val="0.626216999798102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загальний фонд, тис.грн.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5604938271604937"/>
                  <c:y val="-0.10216110019646366"/>
                </c:manualLayout>
              </c:layout>
              <c:tx>
                <c:rich>
                  <a:bodyPr/>
                  <a:lstStyle/>
                  <a:p>
                    <a:r>
                      <a:rPr lang="uk-UA" sz="1200"/>
                      <a:t>142242,7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1925925925925926"/>
                  <c:y val="-0.11787819253438118"/>
                </c:manualLayout>
              </c:layout>
              <c:tx>
                <c:rich>
                  <a:bodyPr/>
                  <a:lstStyle/>
                  <a:p>
                    <a:r>
                      <a:rPr lang="uk-UA" sz="1200"/>
                      <a:t>156199,8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Лист1!$B$1:$C$1</c:f>
              <c:strCache>
                <c:ptCount val="2"/>
                <c:pt idx="0">
                  <c:v> 2018 рік</c:v>
                </c:pt>
                <c:pt idx="1">
                  <c:v> 2019 рік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142242.70000000001</c:v>
                </c:pt>
                <c:pt idx="1">
                  <c:v>156199.79999999999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спеціальний фонд, тис.грн.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5185185185185179E-2"/>
                  <c:y val="-7.8585461689587421E-3"/>
                </c:manualLayout>
              </c:layout>
              <c:tx>
                <c:rich>
                  <a:bodyPr/>
                  <a:lstStyle/>
                  <a:p>
                    <a:r>
                      <a:rPr lang="uk-UA" sz="1200"/>
                      <a:t>3792,8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037037037037043E-2"/>
                  <c:y val="-7.8585461689586952E-3"/>
                </c:manualLayout>
              </c:layout>
              <c:tx>
                <c:rich>
                  <a:bodyPr/>
                  <a:lstStyle/>
                  <a:p>
                    <a:r>
                      <a:rPr lang="uk-UA" sz="1200"/>
                      <a:t>6460,2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Лист1!$B$1:$C$1</c:f>
              <c:strCache>
                <c:ptCount val="2"/>
                <c:pt idx="0">
                  <c:v> 2018 рік</c:v>
                </c:pt>
                <c:pt idx="1">
                  <c:v> 2019 рік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3792.8</c:v>
                </c:pt>
                <c:pt idx="1">
                  <c:v>6460.2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51370368"/>
        <c:axId val="152521728"/>
        <c:axId val="0"/>
      </c:bar3DChart>
      <c:catAx>
        <c:axId val="15137036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400" b="0">
                <a:solidFill>
                  <a:schemeClr val="tx1"/>
                </a:solidFill>
              </a:defRPr>
            </a:pPr>
            <a:endParaRPr lang="ru-RU"/>
          </a:p>
        </c:txPr>
        <c:crossAx val="152521728"/>
        <c:crosses val="autoZero"/>
        <c:auto val="1"/>
        <c:lblAlgn val="ctr"/>
        <c:lblOffset val="100"/>
        <c:noMultiLvlLbl val="0"/>
      </c:catAx>
      <c:valAx>
        <c:axId val="1525217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13703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4654729269952366"/>
          <c:y val="0.25900468728245907"/>
          <c:w val="0.69258427141051815"/>
          <c:h val="4.7368469903933917E-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1"/>
            </a:pPr>
            <a:r>
              <a:rPr lang="uk-UA" sz="1400" b="1" i="1">
                <a:effectLst/>
              </a:rPr>
              <a:t>Рис. 2. Динаміка дохідної частини  бюджету громади </a:t>
            </a:r>
            <a:br>
              <a:rPr lang="uk-UA" sz="1400" b="1" i="1">
                <a:effectLst/>
              </a:rPr>
            </a:br>
            <a:r>
              <a:rPr lang="uk-UA" sz="1400" b="1" i="1">
                <a:effectLst/>
              </a:rPr>
              <a:t>за 2018</a:t>
            </a:r>
            <a:r>
              <a:rPr lang="uk-UA" sz="1400" b="1" i="1" baseline="0">
                <a:effectLst/>
              </a:rPr>
              <a:t> </a:t>
            </a:r>
            <a:r>
              <a:rPr lang="uk-UA" sz="1400" b="1" i="1">
                <a:effectLst/>
              </a:rPr>
              <a:t>- 2019 роки</a:t>
            </a:r>
          </a:p>
        </c:rich>
      </c:tx>
      <c:layout>
        <c:manualLayout>
          <c:xMode val="edge"/>
          <c:yMode val="edge"/>
          <c:x val="0.17386574074074074"/>
          <c:y val="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62833253487613E-2"/>
          <c:y val="0.29601238306750116"/>
          <c:w val="0.9211371667465123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705668226729069"/>
                  <c:y val="2.5071225071225112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7.2802912116484653E-2"/>
                  <c:y val="1.367521367521367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84798.2</c:v>
                </c:pt>
                <c:pt idx="1">
                  <c:v>101729.1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402496099843996E-3"/>
                  <c:y val="-9.3447293447293453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7.4882995319812795E-2"/>
                  <c:y val="-8.8888888888888892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61237.3</c:v>
                </c:pt>
                <c:pt idx="1">
                  <c:v>60930.899999999994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4357760"/>
        <c:axId val="154359296"/>
        <c:axId val="0"/>
      </c:bar3DChart>
      <c:catAx>
        <c:axId val="1543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4359296"/>
        <c:crosses val="autoZero"/>
        <c:auto val="1"/>
        <c:lblAlgn val="ctr"/>
        <c:lblOffset val="100"/>
        <c:noMultiLvlLbl val="0"/>
      </c:catAx>
      <c:valAx>
        <c:axId val="154359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435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006283305495907E-4"/>
          <c:y val="3.4504728004889802E-2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8.1262626262626259E-2"/>
                  <c:y val="-0.19815210345670353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Податок на доходи фізичних осіб, податок на прибуток
52387,2 тис.грн.
32,2%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7384076990376196E-3"/>
                  <c:y val="0.18541022453165015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Акцизний податок
6410,4 тис.грн.
3,9%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4907579734351387"/>
                  <c:y val="0.31169817335586086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Податок на нерухоме майно
1289,1 тис.грн.
0,8%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4581643203690446E-2"/>
                  <c:y val="4.8351557269916162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Плата за землю
19287,3 тис.грн.
11,9%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8284864391951006"/>
                  <c:y val="4.9949313016034939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Єдиний податок
14507,8 тис.грн.
8,9%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35190853416050266"/>
                  <c:y val="0.2371862078883975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Транспортний податок
161,4 тис.грн.
0,09%</a:t>
                    </a:r>
                    <a:endParaRPr lang="ru-RU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547420663326175"/>
                  <c:y val="0.22632563908963435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Плата за надання адмінпослуг, адмінштрафи та збори
1143,3 тис.грн.
0,7%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1.2089716058219995E-2"/>
                  <c:y val="0.27273541149822028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Державне мито
127,0 тис.грн.
0,07%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5.7568360773085185E-2"/>
                  <c:y val="8.8259959407908026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Рентна плата
127,2 тис.грн.
0,07%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7.4878072059174419E-2"/>
                  <c:y val="-5.4046989065638047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Кошти пайової участі
108,8 тис.грн.
0,06%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1.2827487473156764E-3"/>
                  <c:y val="-7.2852178902738374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Офіційні трансферти
60930,9 тис.грн.
37,5%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0.23289556987194782"/>
                  <c:y val="-4.5841223288384497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1"/>
                      <a:t>Власні надходження бюджетних установ
5986,9 тис.грн.
3,7%</a:t>
                    </a:r>
                    <a:endParaRPr lang="uk-UA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-0.12895872106895728"/>
                  <c:y val="-0.15638114061653224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Екологічний податок
75,5 тис.грн.
0,04%</a:t>
                    </a:r>
                    <a:endParaRPr lang="ru-RU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7.9184840531297221E-2"/>
                  <c:y val="-0.14558491929399514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Інші надходження
177,2 тис.грн.
0,07%</a:t>
                    </a:r>
                    <a:endParaRPr lang="ru-RU"/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Кошти пайової участі</c:v>
                </c:pt>
                <c:pt idx="10">
                  <c:v>Офіційні трансферти</c:v>
                </c:pt>
                <c:pt idx="11">
                  <c:v>Власні надходження бюджетних установ</c:v>
                </c:pt>
                <c:pt idx="12">
                  <c:v>Екологічний податок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52387.199999999997</c:v>
                </c:pt>
                <c:pt idx="1">
                  <c:v>6410.4</c:v>
                </c:pt>
                <c:pt idx="2">
                  <c:v>1289.0999999999999</c:v>
                </c:pt>
                <c:pt idx="3">
                  <c:v>19287.3</c:v>
                </c:pt>
                <c:pt idx="4">
                  <c:v>14507.8</c:v>
                </c:pt>
                <c:pt idx="5">
                  <c:v>161.4</c:v>
                </c:pt>
                <c:pt idx="6">
                  <c:v>1143.3</c:v>
                </c:pt>
                <c:pt idx="7">
                  <c:v>127</c:v>
                </c:pt>
                <c:pt idx="8">
                  <c:v>127.2</c:v>
                </c:pt>
                <c:pt idx="9">
                  <c:v>108.8</c:v>
                </c:pt>
                <c:pt idx="10">
                  <c:v>60930.9</c:v>
                </c:pt>
                <c:pt idx="11">
                  <c:v>5986.9</c:v>
                </c:pt>
                <c:pt idx="12">
                  <c:v>75.5</c:v>
                </c:pt>
                <c:pt idx="13">
                  <c:v>117.2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29E-2"/>
          <c:y val="0.38131181762064309"/>
          <c:w val="0.82407407407407407"/>
          <c:h val="0.59403868261808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2017 рік</c:v>
                </c:pt>
              </c:strCache>
            </c:strRef>
          </c:tx>
          <c:explosion val="23"/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0.32191453017853294"/>
                  <c:y val="-1.496070282790267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13713420095485102"/>
                  <c:y val="-0.1746926137404071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8.9459878346067279E-2"/>
                  <c:y val="-0.1826738359607797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14468827153282399"/>
                  <c:y val="2.1190480154040458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2.2859568369977493E-2"/>
                  <c:y val="3.0882788700038289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8.134136174154710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2.1596623951417839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Державне управління
</a:t>
                    </a:r>
                    <a:r>
                      <a:rPr lang="uk-UA" i="0"/>
                      <a:t>15696,8
</a:t>
                    </a:r>
                    <a:r>
                      <a:rPr lang="uk-UA"/>
                      <a:t>9,7%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8.4195895967549506E-2"/>
                  <c:y val="-1.17301219700478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0.14927513882723117"/>
                  <c:y val="-7.70616992114886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b="1" i="1">
                    <a:ln>
                      <a:noFill/>
                    </a:ln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діяльність(землеустрій, дороги,інфраструктура, соцекономічний розвиток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5767.2</c:v>
                </c:pt>
                <c:pt idx="2">
                  <c:v>2804.1</c:v>
                </c:pt>
                <c:pt idx="3">
                  <c:v>10547.9</c:v>
                </c:pt>
                <c:pt idx="4">
                  <c:v>97565.8</c:v>
                </c:pt>
                <c:pt idx="5">
                  <c:v>5567.9</c:v>
                </c:pt>
                <c:pt idx="6">
                  <c:v>15696.8</c:v>
                </c:pt>
                <c:pt idx="7">
                  <c:v>14090.1</c:v>
                </c:pt>
                <c:pt idx="8">
                  <c:v>10548.3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70015654571369"/>
          <c:y val="0.24989772150901399"/>
          <c:w val="0.82407407407407407"/>
          <c:h val="0.66198325449957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5934795984329853E-2"/>
                  <c:y val="0.3586160641739670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33186414012788462"/>
                  <c:y val="3.807911440713437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22880953048168368"/>
                  <c:y val="0.1548180359171375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11702391800431476"/>
                  <c:y val="0.15443746829957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0.1606084511481092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2.2395165720564001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1.525076807259557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"/>
                  <c:y val="1.894992777065657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0.10559373470063942"/>
                  <c:y val="-5.895186208810977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0.13164030028161375"/>
                  <c:y val="-4.605831247838203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-0.13863995723938763"/>
                  <c:y val="-0.18674357565769395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0.16255733990697971"/>
                  <c:y val="-0.250356467069523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53247583666285037"/>
                  <c:y val="-0.2499503134340852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3843253635848708"/>
                  <c:y val="-0.1795910394921564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7048881204389511"/>
                  <c:y val="-4.198372014004816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5"/>
              <c:layout>
                <c:manualLayout>
                  <c:x val="-2.2385978348451106E-2"/>
                  <c:y val="-0.1113570978046348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63264640139567119"/>
                  <c:y val="0.134759027541819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55459224125174267"/>
                  <c:y val="0.5508960817046086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43601595052843911"/>
                  <c:y val="-0.1142777227893417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900" b="1" i="1">
                    <a:solidFill>
                      <a:srgbClr val="0000FF"/>
                    </a:solidFill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Лист1!$A$2:$A$20</c:f>
              <c:strCache>
                <c:ptCount val="19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9">
                  <c:v>Соціальне забезпечення</c:v>
                </c:pt>
                <c:pt idx="10">
                  <c:v>Видатки на відрядження</c:v>
                </c:pt>
                <c:pt idx="11">
                  <c:v>Медикаменти</c:v>
                </c:pt>
                <c:pt idx="12">
                  <c:v>Інші поточні видатки</c:v>
                </c:pt>
                <c:pt idx="13">
                  <c:v>Дослідження і розробки, окремі заходи по реалізації державних програм</c:v>
                </c:pt>
                <c:pt idx="14">
                  <c:v>Капітальне будівництво (придбання)</c:v>
                </c:pt>
                <c:pt idx="15">
                  <c:v>Придбання обладнання і предметів довгострокового користування</c:v>
                </c:pt>
                <c:pt idx="16">
                  <c:v>Капітальний ремонт </c:v>
                </c:pt>
                <c:pt idx="17">
                  <c:v>Реконструкція та реставрація </c:v>
                </c:pt>
                <c:pt idx="18">
                  <c:v>Капітальні трансферти 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93262.900000000009</c:v>
                </c:pt>
                <c:pt idx="1">
                  <c:v>6028.8</c:v>
                </c:pt>
                <c:pt idx="2">
                  <c:v>5277.2</c:v>
                </c:pt>
                <c:pt idx="3">
                  <c:v>9318.7999999999993</c:v>
                </c:pt>
                <c:pt idx="4">
                  <c:v>2406.9</c:v>
                </c:pt>
                <c:pt idx="5">
                  <c:v>400.4</c:v>
                </c:pt>
                <c:pt idx="6">
                  <c:v>12017.6</c:v>
                </c:pt>
                <c:pt idx="7">
                  <c:v>14774.4</c:v>
                </c:pt>
                <c:pt idx="9">
                  <c:v>743.8</c:v>
                </c:pt>
                <c:pt idx="10">
                  <c:v>191</c:v>
                </c:pt>
                <c:pt idx="11">
                  <c:v>13.7</c:v>
                </c:pt>
                <c:pt idx="12">
                  <c:v>131.1</c:v>
                </c:pt>
                <c:pt idx="13">
                  <c:v>892</c:v>
                </c:pt>
                <c:pt idx="14">
                  <c:v>1461.4</c:v>
                </c:pt>
                <c:pt idx="15">
                  <c:v>5380.2</c:v>
                </c:pt>
                <c:pt idx="16">
                  <c:v>4480.8999999999996</c:v>
                </c:pt>
                <c:pt idx="17">
                  <c:v>5778.4</c:v>
                </c:pt>
                <c:pt idx="18">
                  <c:v>28.6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uk-UA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2018 рік (46344,3 тис.грн.)</a:t>
          </a:r>
          <a:endParaRPr lang="ru-RU" sz="14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uk-UA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2019 рік (52387,2 тис.грн.)</a:t>
          </a:r>
          <a:endParaRPr lang="ru-RU" sz="1400" b="1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становить  113% (+6042,9 тис.грн.)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ScaleX="135120" custScaleY="87568" custLinFactNeighborX="-64597" custLinFactNeighborY="1402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ScaleY="96574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 custScaleY="49602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ScaleY="51535" custLinFactNeighborX="-51389" custLinFactNeighborY="806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9EF8E85C-1220-4EDE-BD88-02E30A65B64A}" type="presOf" srcId="{6EA37E67-6319-439B-AFD7-C1578390A8B6}" destId="{AA06FE2E-9EB6-4CDB-ADA3-CD3B058B323C}" srcOrd="1" destOrd="0" presId="urn:microsoft.com/office/officeart/2005/8/layout/list1"/>
    <dgm:cxn modelId="{F1A13267-1683-4785-A013-028A52DD2266}" type="presOf" srcId="{6EA37E67-6319-439B-AFD7-C1578390A8B6}" destId="{DDFB2AF7-E88C-47B4-99D4-C5B6D3627C29}" srcOrd="0" destOrd="0" presId="urn:microsoft.com/office/officeart/2005/8/layout/list1"/>
    <dgm:cxn modelId="{F3DE7309-AE2F-4C27-BE18-8306CD70B023}" type="presOf" srcId="{80F89128-A270-4E35-8BB5-1193001BD9DF}" destId="{0136F0A0-1633-41C1-B81E-21BD6F5D1141}" srcOrd="1" destOrd="0" presId="urn:microsoft.com/office/officeart/2005/8/layout/list1"/>
    <dgm:cxn modelId="{3A30D23D-6F75-4BE5-9C78-40D0E3092012}" type="presOf" srcId="{7E930DB5-1627-4D26-9707-8573EC203450}" destId="{F689546F-44F6-4204-B523-DF54E65B16D0}" srcOrd="0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8B7F1EF9-EBCC-4842-B2C2-277159828707}" type="presOf" srcId="{7E930DB5-1627-4D26-9707-8573EC203450}" destId="{DEFD212E-F27A-45AB-99D4-5144C70CD988}" srcOrd="1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5EF43078-EDC5-4BF0-BF52-1063DDAD3A9D}" type="presOf" srcId="{4D1528FF-AE9C-40E5-9CCC-E3DF855B6E26}" destId="{4178E824-0EAB-4F8A-8B4D-F9294862A670}" srcOrd="0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118A6F10-DC4A-4582-AADA-324E660D48AE}" type="presOf" srcId="{80F89128-A270-4E35-8BB5-1193001BD9DF}" destId="{E362D7CE-76E0-4520-AB62-95E29D806260}" srcOrd="0" destOrd="0" presId="urn:microsoft.com/office/officeart/2005/8/layout/list1"/>
    <dgm:cxn modelId="{B5E5BD98-2E02-447B-AC31-F9B9A06A2C81}" type="presParOf" srcId="{4178E824-0EAB-4F8A-8B4D-F9294862A670}" destId="{CE113277-B94E-45E9-B4FB-1BC658EB3BDF}" srcOrd="0" destOrd="0" presId="urn:microsoft.com/office/officeart/2005/8/layout/list1"/>
    <dgm:cxn modelId="{1FD17BA2-241C-4E6B-87DA-6733F38AFA70}" type="presParOf" srcId="{CE113277-B94E-45E9-B4FB-1BC658EB3BDF}" destId="{F689546F-44F6-4204-B523-DF54E65B16D0}" srcOrd="0" destOrd="0" presId="urn:microsoft.com/office/officeart/2005/8/layout/list1"/>
    <dgm:cxn modelId="{F55148EA-699D-45A3-BF9B-A6FC5CE507BB}" type="presParOf" srcId="{CE113277-B94E-45E9-B4FB-1BC658EB3BDF}" destId="{DEFD212E-F27A-45AB-99D4-5144C70CD988}" srcOrd="1" destOrd="0" presId="urn:microsoft.com/office/officeart/2005/8/layout/list1"/>
    <dgm:cxn modelId="{12D5AA82-5E83-43FD-80DE-C904A384F208}" type="presParOf" srcId="{4178E824-0EAB-4F8A-8B4D-F9294862A670}" destId="{B723F7FE-B225-446C-AAD6-5797DCD4D0BB}" srcOrd="1" destOrd="0" presId="urn:microsoft.com/office/officeart/2005/8/layout/list1"/>
    <dgm:cxn modelId="{A29DF1C1-6E8D-4381-9CEC-7C8CDB6F785E}" type="presParOf" srcId="{4178E824-0EAB-4F8A-8B4D-F9294862A670}" destId="{DC827496-DA42-4BFD-B5E4-668235A59E20}" srcOrd="2" destOrd="0" presId="urn:microsoft.com/office/officeart/2005/8/layout/list1"/>
    <dgm:cxn modelId="{89B0BAE7-47B5-431C-A6F1-EB4D3A2844D9}" type="presParOf" srcId="{4178E824-0EAB-4F8A-8B4D-F9294862A670}" destId="{4C54389D-DFA5-47B0-B3FC-CAB600637888}" srcOrd="3" destOrd="0" presId="urn:microsoft.com/office/officeart/2005/8/layout/list1"/>
    <dgm:cxn modelId="{C1A27D97-430E-4288-A93E-3D94B8661DF1}" type="presParOf" srcId="{4178E824-0EAB-4F8A-8B4D-F9294862A670}" destId="{63E8A1F7-C744-44D8-B43A-27BB990ECBAF}" srcOrd="4" destOrd="0" presId="urn:microsoft.com/office/officeart/2005/8/layout/list1"/>
    <dgm:cxn modelId="{2E387814-B109-4719-8D99-AC503EA714CA}" type="presParOf" srcId="{63E8A1F7-C744-44D8-B43A-27BB990ECBAF}" destId="{DDFB2AF7-E88C-47B4-99D4-C5B6D3627C29}" srcOrd="0" destOrd="0" presId="urn:microsoft.com/office/officeart/2005/8/layout/list1"/>
    <dgm:cxn modelId="{576BA6C9-6C8A-4095-9F44-CBC3AA63F7E0}" type="presParOf" srcId="{63E8A1F7-C744-44D8-B43A-27BB990ECBAF}" destId="{AA06FE2E-9EB6-4CDB-ADA3-CD3B058B323C}" srcOrd="1" destOrd="0" presId="urn:microsoft.com/office/officeart/2005/8/layout/list1"/>
    <dgm:cxn modelId="{B58C24C3-E040-4C04-BC2A-3A7C3DAC0BA9}" type="presParOf" srcId="{4178E824-0EAB-4F8A-8B4D-F9294862A670}" destId="{60612942-5B55-4169-A0AE-877E4F2F3AF1}" srcOrd="5" destOrd="0" presId="urn:microsoft.com/office/officeart/2005/8/layout/list1"/>
    <dgm:cxn modelId="{C3E6F8AA-9C7F-489A-A3E7-12512F1DD5A9}" type="presParOf" srcId="{4178E824-0EAB-4F8A-8B4D-F9294862A670}" destId="{298D072D-732E-45E1-B61E-2D9E2845DA40}" srcOrd="6" destOrd="0" presId="urn:microsoft.com/office/officeart/2005/8/layout/list1"/>
    <dgm:cxn modelId="{0F48F244-CA3A-42A1-BE40-569B19AF1DC6}" type="presParOf" srcId="{4178E824-0EAB-4F8A-8B4D-F9294862A670}" destId="{9FB93C63-EB97-4CD1-BB6B-4E9264FF488D}" srcOrd="7" destOrd="0" presId="urn:microsoft.com/office/officeart/2005/8/layout/list1"/>
    <dgm:cxn modelId="{8F6E4CAE-DD81-42A3-BB49-30D22BD6EAD7}" type="presParOf" srcId="{4178E824-0EAB-4F8A-8B4D-F9294862A670}" destId="{7B8700B7-44FE-43A4-8D8E-508592351726}" srcOrd="8" destOrd="0" presId="urn:microsoft.com/office/officeart/2005/8/layout/list1"/>
    <dgm:cxn modelId="{F2E1532A-3F6A-4C2E-A808-D1564E8202DF}" type="presParOf" srcId="{7B8700B7-44FE-43A4-8D8E-508592351726}" destId="{E362D7CE-76E0-4520-AB62-95E29D806260}" srcOrd="0" destOrd="0" presId="urn:microsoft.com/office/officeart/2005/8/layout/list1"/>
    <dgm:cxn modelId="{D8CEE716-527D-40E8-8059-410D1C919A72}" type="presParOf" srcId="{7B8700B7-44FE-43A4-8D8E-508592351726}" destId="{0136F0A0-1633-41C1-B81E-21BD6F5D1141}" srcOrd="1" destOrd="0" presId="urn:microsoft.com/office/officeart/2005/8/layout/list1"/>
    <dgm:cxn modelId="{CB80E40D-2973-43E8-9FAC-5317B1F89F1C}" type="presParOf" srcId="{4178E824-0EAB-4F8A-8B4D-F9294862A670}" destId="{7F1384B6-EB32-4E6F-AF31-EDEC34E18B8A}" srcOrd="9" destOrd="0" presId="urn:microsoft.com/office/officeart/2005/8/layout/list1"/>
    <dgm:cxn modelId="{0925AEF6-BF75-43B3-BB1F-A725FD93DD22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2018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-1087,5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+2396,9 тис.грн. або 320,4%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-3484,4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08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642CCC4B-9F35-444F-A669-2C5F82F415E2}" type="presOf" srcId="{F3B87DBF-656F-4CC6-9990-C113FA0B16D6}" destId="{92E200D2-BF6A-406B-991E-DEF1A3D6F8B7}" srcOrd="0" destOrd="0" presId="urn:microsoft.com/office/officeart/2005/8/layout/hList3"/>
    <dgm:cxn modelId="{26556216-97FF-4462-834D-0BFFB1C3E87B}" type="presOf" srcId="{B97AC598-08D0-4456-AFFD-A66DB36EEAB9}" destId="{EE63E7A9-C424-4EE0-87C3-09471F56FF6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BA07D799-9730-475C-A22B-67A804F55F1D}" type="presOf" srcId="{084E3DDC-0DBD-4530-A7F3-0297E20F11AC}" destId="{9BE461BD-92E5-458A-A0FD-39360F5A2659}" srcOrd="0" destOrd="0" presId="urn:microsoft.com/office/officeart/2005/8/layout/hList3"/>
    <dgm:cxn modelId="{521929C2-05CA-49AF-9962-3A5B05F7508C}" type="presOf" srcId="{018E694E-2160-46CF-8DEC-94977973E799}" destId="{AA2C7FBE-A683-447C-98C1-6693C7463562}" srcOrd="0" destOrd="0" presId="urn:microsoft.com/office/officeart/2005/8/layout/hList3"/>
    <dgm:cxn modelId="{BBE32755-69F9-4827-BFAB-D55BA9C012AE}" type="presOf" srcId="{34DC053F-1D54-492B-8335-CD8C939D1DA7}" destId="{FB664D42-0A4B-4C14-AB77-AC9CF1CDB986}" srcOrd="0" destOrd="0" presId="urn:microsoft.com/office/officeart/2005/8/layout/hList3"/>
    <dgm:cxn modelId="{60496FDB-3B3F-4484-B128-3A77A07C9867}" type="presParOf" srcId="{FB664D42-0A4B-4C14-AB77-AC9CF1CDB986}" destId="{9BE461BD-92E5-458A-A0FD-39360F5A2659}" srcOrd="0" destOrd="0" presId="urn:microsoft.com/office/officeart/2005/8/layout/hList3"/>
    <dgm:cxn modelId="{00D576F2-DDBE-448D-9FA6-1186A78CDC76}" type="presParOf" srcId="{FB664D42-0A4B-4C14-AB77-AC9CF1CDB986}" destId="{ED6D801B-B9BA-4DB3-9EE7-A35FF80579B6}" srcOrd="1" destOrd="0" presId="urn:microsoft.com/office/officeart/2005/8/layout/hList3"/>
    <dgm:cxn modelId="{6FCB431E-F7A2-4EEF-8144-36CEA3E7069F}" type="presParOf" srcId="{ED6D801B-B9BA-4DB3-9EE7-A35FF80579B6}" destId="{AA2C7FBE-A683-447C-98C1-6693C7463562}" srcOrd="0" destOrd="0" presId="urn:microsoft.com/office/officeart/2005/8/layout/hList3"/>
    <dgm:cxn modelId="{5925798E-B3C5-43D1-BBE6-3A8694D4DB79}" type="presParOf" srcId="{ED6D801B-B9BA-4DB3-9EE7-A35FF80579B6}" destId="{92E200D2-BF6A-406B-991E-DEF1A3D6F8B7}" srcOrd="1" destOrd="0" presId="urn:microsoft.com/office/officeart/2005/8/layout/hList3"/>
    <dgm:cxn modelId="{1832E9A7-35C5-4B52-B730-5629B92D1A9D}" type="presParOf" srcId="{ED6D801B-B9BA-4DB3-9EE7-A35FF80579B6}" destId="{EE63E7A9-C424-4EE0-87C3-09471F56FF67}" srcOrd="2" destOrd="0" presId="urn:microsoft.com/office/officeart/2005/8/layout/hList3"/>
    <dgm:cxn modelId="{E3424803-9D3D-46B9-8FB2-DCE5A0C79AF5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208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-403,0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      +383,2 тис.грн.                 або 195,1%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-786,2 тис.грн</a:t>
          </a:r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1D0A40BA-5B53-4457-90AF-392CFE7FF930}" type="presOf" srcId="{F3B87DBF-656F-4CC6-9990-C113FA0B16D6}" destId="{92E200D2-BF6A-406B-991E-DEF1A3D6F8B7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D0911D90-DBB2-4481-A9B0-ED724FADDDD3}" type="presOf" srcId="{018E694E-2160-46CF-8DEC-94977973E799}" destId="{AA2C7FBE-A683-447C-98C1-6693C7463562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BFE0EB60-7440-4DC9-ABDF-41217CF10A38}" type="presOf" srcId="{084E3DDC-0DBD-4530-A7F3-0297E20F11AC}" destId="{9BE461BD-92E5-458A-A0FD-39360F5A2659}" srcOrd="0" destOrd="0" presId="urn:microsoft.com/office/officeart/2005/8/layout/hList3"/>
    <dgm:cxn modelId="{E1543F75-656F-4A6C-98D5-6EED8A860235}" type="presOf" srcId="{B97AC598-08D0-4456-AFFD-A66DB36EEAB9}" destId="{EE63E7A9-C424-4EE0-87C3-09471F56FF67}" srcOrd="0" destOrd="0" presId="urn:microsoft.com/office/officeart/2005/8/layout/hList3"/>
    <dgm:cxn modelId="{C296B265-1B9C-4C52-87F9-DA2CECADF81E}" type="presOf" srcId="{34DC053F-1D54-492B-8335-CD8C939D1DA7}" destId="{FB664D42-0A4B-4C14-AB77-AC9CF1CDB986}" srcOrd="0" destOrd="0" presId="urn:microsoft.com/office/officeart/2005/8/layout/hList3"/>
    <dgm:cxn modelId="{E8B9E50C-9D01-43D2-81D5-B6547458A897}" type="presParOf" srcId="{FB664D42-0A4B-4C14-AB77-AC9CF1CDB986}" destId="{9BE461BD-92E5-458A-A0FD-39360F5A2659}" srcOrd="0" destOrd="0" presId="urn:microsoft.com/office/officeart/2005/8/layout/hList3"/>
    <dgm:cxn modelId="{A776CDB8-A469-4070-90E5-196412FA15A2}" type="presParOf" srcId="{FB664D42-0A4B-4C14-AB77-AC9CF1CDB986}" destId="{ED6D801B-B9BA-4DB3-9EE7-A35FF80579B6}" srcOrd="1" destOrd="0" presId="urn:microsoft.com/office/officeart/2005/8/layout/hList3"/>
    <dgm:cxn modelId="{2E3A8596-D0C8-45AD-9600-11C3EFB3B546}" type="presParOf" srcId="{ED6D801B-B9BA-4DB3-9EE7-A35FF80579B6}" destId="{AA2C7FBE-A683-447C-98C1-6693C7463562}" srcOrd="0" destOrd="0" presId="urn:microsoft.com/office/officeart/2005/8/layout/hList3"/>
    <dgm:cxn modelId="{B042C929-3C36-4BF7-A5D8-AC4C2ED15F4C}" type="presParOf" srcId="{ED6D801B-B9BA-4DB3-9EE7-A35FF80579B6}" destId="{92E200D2-BF6A-406B-991E-DEF1A3D6F8B7}" srcOrd="1" destOrd="0" presId="urn:microsoft.com/office/officeart/2005/8/layout/hList3"/>
    <dgm:cxn modelId="{0A23C29C-36D1-4CAC-966B-26229606EC7A}" type="presParOf" srcId="{ED6D801B-B9BA-4DB3-9EE7-A35FF80579B6}" destId="{EE63E7A9-C424-4EE0-87C3-09471F56FF67}" srcOrd="2" destOrd="0" presId="urn:microsoft.com/office/officeart/2005/8/layout/hList3"/>
    <dgm:cxn modelId="{3CEFF6C3-F503-456F-A767-21B38E9BD0F6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2018</a:t>
          </a:r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-9248,8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 +3832,8тис.грн. або 141,4%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-13081,6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C197AC51-EF39-4E3D-9CD3-CBA00264A565}" type="presOf" srcId="{084E3DDC-0DBD-4530-A7F3-0297E20F11AC}" destId="{9BE461BD-92E5-458A-A0FD-39360F5A2659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A8454538-FD40-475C-A975-354F90661D3D}" type="presOf" srcId="{B97AC598-08D0-4456-AFFD-A66DB36EEAB9}" destId="{EE63E7A9-C424-4EE0-87C3-09471F56FF67}" srcOrd="0" destOrd="0" presId="urn:microsoft.com/office/officeart/2005/8/layout/hList3"/>
    <dgm:cxn modelId="{AA2214F7-32FD-4D39-A3D4-7D490E3CBBA6}" type="presOf" srcId="{F3B87DBF-656F-4CC6-9990-C113FA0B16D6}" destId="{92E200D2-BF6A-406B-991E-DEF1A3D6F8B7}" srcOrd="0" destOrd="0" presId="urn:microsoft.com/office/officeart/2005/8/layout/hList3"/>
    <dgm:cxn modelId="{EB321593-FD08-4336-98BC-974FBFB60F26}" type="presOf" srcId="{018E694E-2160-46CF-8DEC-94977973E799}" destId="{AA2C7FBE-A683-447C-98C1-6693C7463562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111EF31A-0768-4E6B-A434-1F932840D583}" type="presOf" srcId="{34DC053F-1D54-492B-8335-CD8C939D1DA7}" destId="{FB664D42-0A4B-4C14-AB77-AC9CF1CDB986}" srcOrd="0" destOrd="0" presId="urn:microsoft.com/office/officeart/2005/8/layout/hList3"/>
    <dgm:cxn modelId="{D28E547C-38C0-4AF2-B111-F73CFCFC15EC}" type="presParOf" srcId="{FB664D42-0A4B-4C14-AB77-AC9CF1CDB986}" destId="{9BE461BD-92E5-458A-A0FD-39360F5A2659}" srcOrd="0" destOrd="0" presId="urn:microsoft.com/office/officeart/2005/8/layout/hList3"/>
    <dgm:cxn modelId="{33BD18C7-D483-402D-B357-7823BA3662ED}" type="presParOf" srcId="{FB664D42-0A4B-4C14-AB77-AC9CF1CDB986}" destId="{ED6D801B-B9BA-4DB3-9EE7-A35FF80579B6}" srcOrd="1" destOrd="0" presId="urn:microsoft.com/office/officeart/2005/8/layout/hList3"/>
    <dgm:cxn modelId="{CFA4359C-F160-4948-BCBF-77763F76E3A0}" type="presParOf" srcId="{ED6D801B-B9BA-4DB3-9EE7-A35FF80579B6}" destId="{AA2C7FBE-A683-447C-98C1-6693C7463562}" srcOrd="0" destOrd="0" presId="urn:microsoft.com/office/officeart/2005/8/layout/hList3"/>
    <dgm:cxn modelId="{B3A2DD36-4D86-4999-99DD-A025EAFAD581}" type="presParOf" srcId="{ED6D801B-B9BA-4DB3-9EE7-A35FF80579B6}" destId="{92E200D2-BF6A-406B-991E-DEF1A3D6F8B7}" srcOrd="1" destOrd="0" presId="urn:microsoft.com/office/officeart/2005/8/layout/hList3"/>
    <dgm:cxn modelId="{90AD0266-B4B8-46C1-99FE-9BED5534ADA5}" type="presParOf" srcId="{ED6D801B-B9BA-4DB3-9EE7-A35FF80579B6}" destId="{EE63E7A9-C424-4EE0-87C3-09471F56FF67}" srcOrd="2" destOrd="0" presId="urn:microsoft.com/office/officeart/2005/8/layout/hList3"/>
    <dgm:cxn modelId="{77B951C5-8AD6-4B2E-BB24-F0881FEBE7E1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2018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-2024,3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      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-89,4 тис.грн.            або 95,6%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r>
            <a:rPr lang="ru-RU" sz="18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-1934,9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D63BED82-235E-44EF-A709-775F89B988D7}" type="presOf" srcId="{B97AC598-08D0-4456-AFFD-A66DB36EEAB9}" destId="{EE63E7A9-C424-4EE0-87C3-09471F56FF67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9C08C68C-C1BD-453D-9ED2-B589C63AAB8B}" type="presOf" srcId="{34DC053F-1D54-492B-8335-CD8C939D1DA7}" destId="{FB664D42-0A4B-4C14-AB77-AC9CF1CDB986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4F9B4EA5-EDB4-4AD2-8F80-1AE92A3967C5}" type="presOf" srcId="{018E694E-2160-46CF-8DEC-94977973E799}" destId="{AA2C7FBE-A683-447C-98C1-6693C7463562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23B1FDF6-B243-4A00-B62C-75A802359720}" type="presOf" srcId="{084E3DDC-0DBD-4530-A7F3-0297E20F11AC}" destId="{9BE461BD-92E5-458A-A0FD-39360F5A2659}" srcOrd="0" destOrd="0" presId="urn:microsoft.com/office/officeart/2005/8/layout/hList3"/>
    <dgm:cxn modelId="{B2F94B47-B1E7-4FD8-9DA8-7BAD525F77AA}" type="presOf" srcId="{F3B87DBF-656F-4CC6-9990-C113FA0B16D6}" destId="{92E200D2-BF6A-406B-991E-DEF1A3D6F8B7}" srcOrd="0" destOrd="0" presId="urn:microsoft.com/office/officeart/2005/8/layout/hList3"/>
    <dgm:cxn modelId="{BE9054FC-9364-4B74-B26A-7A74BF1BE569}" type="presParOf" srcId="{FB664D42-0A4B-4C14-AB77-AC9CF1CDB986}" destId="{9BE461BD-92E5-458A-A0FD-39360F5A2659}" srcOrd="0" destOrd="0" presId="urn:microsoft.com/office/officeart/2005/8/layout/hList3"/>
    <dgm:cxn modelId="{CEA1614B-1651-4BE0-B349-AC433899A340}" type="presParOf" srcId="{FB664D42-0A4B-4C14-AB77-AC9CF1CDB986}" destId="{ED6D801B-B9BA-4DB3-9EE7-A35FF80579B6}" srcOrd="1" destOrd="0" presId="urn:microsoft.com/office/officeart/2005/8/layout/hList3"/>
    <dgm:cxn modelId="{CCDFA4E1-A686-4E9D-A3B3-F0576B38F2F5}" type="presParOf" srcId="{ED6D801B-B9BA-4DB3-9EE7-A35FF80579B6}" destId="{AA2C7FBE-A683-447C-98C1-6693C7463562}" srcOrd="0" destOrd="0" presId="urn:microsoft.com/office/officeart/2005/8/layout/hList3"/>
    <dgm:cxn modelId="{C71773FE-A00D-459D-941A-68CBC330EB9D}" type="presParOf" srcId="{ED6D801B-B9BA-4DB3-9EE7-A35FF80579B6}" destId="{92E200D2-BF6A-406B-991E-DEF1A3D6F8B7}" srcOrd="1" destOrd="0" presId="urn:microsoft.com/office/officeart/2005/8/layout/hList3"/>
    <dgm:cxn modelId="{332A4B4D-CEB2-43DB-862A-115E3FEE9799}" type="presParOf" srcId="{ED6D801B-B9BA-4DB3-9EE7-A35FF80579B6}" destId="{EE63E7A9-C424-4EE0-87C3-09471F56FF67}" srcOrd="2" destOrd="0" presId="urn:microsoft.com/office/officeart/2005/8/layout/hList3"/>
    <dgm:cxn modelId="{53124C35-BBC5-405C-A6E9-8583EAD97DC6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ru-RU" sz="1800" b="1">
              <a:solidFill>
                <a:schemeClr val="tx1"/>
              </a:solidFill>
            </a:rPr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2018 рік</a:t>
          </a:r>
        </a:p>
        <a:p>
          <a:r>
            <a:rPr lang="ru-RU" sz="1600">
              <a:solidFill>
                <a:schemeClr val="tx1"/>
              </a:solidFill>
            </a:rPr>
            <a:t>452,0 тис.грн. </a:t>
          </a:r>
          <a:r>
            <a:rPr lang="ru-RU" sz="1600">
              <a:solidFill>
                <a:schemeClr val="accent6">
                  <a:lumMod val="50000"/>
                </a:schemeClr>
              </a:solidFill>
            </a:rPr>
            <a:t>   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ru-RU" sz="1800" b="1">
              <a:solidFill>
                <a:schemeClr val="tx1"/>
              </a:solidFill>
            </a:rPr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2018 рік</a:t>
          </a:r>
        </a:p>
        <a:p>
          <a:r>
            <a:rPr lang="ru-RU" sz="1600">
              <a:solidFill>
                <a:schemeClr val="tx1"/>
              </a:solidFill>
            </a:rPr>
            <a:t>6756,0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2019 рік</a:t>
          </a:r>
        </a:p>
        <a:p>
          <a:r>
            <a:rPr lang="ru-RU" sz="1600">
              <a:solidFill>
                <a:schemeClr val="tx1"/>
              </a:solidFill>
            </a:rPr>
            <a:t>7845,9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ru-RU" sz="1800" b="1">
              <a:solidFill>
                <a:schemeClr val="tx1"/>
              </a:solidFill>
            </a:rPr>
            <a:t>Єдиний податок з </a:t>
          </a:r>
          <a:r>
            <a:rPr lang="ru-RU" sz="2000" b="1">
              <a:solidFill>
                <a:schemeClr val="tx1"/>
              </a:solidFill>
            </a:rPr>
            <a:t>с/г </a:t>
          </a:r>
          <a:r>
            <a:rPr lang="ru-RU" sz="1800" b="1">
              <a:solidFill>
                <a:schemeClr val="tx1"/>
              </a:solidFill>
            </a:rPr>
            <a:t>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2018 рік</a:t>
          </a:r>
        </a:p>
        <a:p>
          <a:r>
            <a:rPr lang="ru-RU" sz="1600">
              <a:solidFill>
                <a:schemeClr val="tx1"/>
              </a:solidFill>
            </a:rPr>
            <a:t>7111,2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2019 рік</a:t>
          </a:r>
        </a:p>
        <a:p>
          <a:r>
            <a:rPr lang="ru-RU" sz="1600">
              <a:solidFill>
                <a:schemeClr val="tx1"/>
              </a:solidFill>
            </a:rPr>
            <a:t>6230,2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2019 рік</a:t>
          </a:r>
        </a:p>
        <a:p>
          <a:r>
            <a:rPr lang="ru-RU" sz="1600">
              <a:solidFill>
                <a:schemeClr val="tx1"/>
              </a:solidFill>
            </a:rPr>
            <a:t>431,7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Темп росту -                 -20,3 тис.грн.,            або 95,5%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ru-RU" sz="1600" b="1">
              <a:solidFill>
                <a:schemeClr val="tx1"/>
              </a:solidFill>
            </a:rPr>
            <a:t>Темп росту -      +1089,9 тис.грн.,   або 116,1%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chemeClr val="tx1"/>
              </a:solidFill>
            </a:rPr>
            <a:t>Темп росту -                  -88,0 тис.грн.,  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chemeClr val="tx1"/>
              </a:solidFill>
            </a:rPr>
            <a:t>   або 87,6%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</dgm:pt>
    <dgm:pt modelId="{EB7F96A0-D7E4-4053-9680-FC5E88E08F70}" type="pres">
      <dgm:prSet presAssocID="{D3FDBD3B-51B0-41D5-8F1F-238FFFB56A91}" presName="theInnerList" presStyleCnt="0"/>
      <dgm:spPr/>
    </dgm:pt>
    <dgm:pt modelId="{B995AA39-D88B-4F5D-A2D0-044F059CE9BB}" type="pres">
      <dgm:prSet presAssocID="{FBD828C5-1EEA-4259-802F-0F316DB2AD3B}" presName="childNode" presStyleLbl="node1" presStyleIdx="0" presStyleCnt="9" custScaleX="121532" custScaleY="65732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</dgm:pt>
    <dgm:pt modelId="{2C596296-6704-4CC8-B9BF-52C838285E88}" type="pres">
      <dgm:prSet presAssocID="{6EDC4DD3-7BE0-466A-A8A1-307F476A455E}" presName="childNode" presStyleLbl="node1" presStyleIdx="1" presStyleCnt="9" custScaleX="119647" custScaleY="5965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</dgm:pt>
    <dgm:pt modelId="{C0D08081-2729-49B6-BDC0-E0A5F7D256AE}" type="pres">
      <dgm:prSet presAssocID="{0DF7D2E2-A6FC-4AB8-B605-61D4BBD64FD0}" presName="compNode" presStyleCnt="0"/>
      <dgm:spPr/>
    </dgm:pt>
    <dgm:pt modelId="{E9F66DB0-F6F9-4B80-B84F-9BDE22F808C2}" type="pres">
      <dgm:prSet presAssocID="{0DF7D2E2-A6FC-4AB8-B605-61D4BBD64FD0}" presName="aNode" presStyleLbl="bgShp" presStyleIdx="1" presStyleCnt="3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</dgm:pt>
    <dgm:pt modelId="{CDF03F4F-2E06-4FBA-B1B3-26C3CC68D443}" type="pres">
      <dgm:prSet presAssocID="{0DF7D2E2-A6FC-4AB8-B605-61D4BBD64FD0}" presName="theInnerList" presStyleCnt="0"/>
      <dgm:spPr/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</dgm:pt>
    <dgm:pt modelId="{74A7BFD7-DE4B-4CEF-9E5B-9E14C4720914}" type="pres">
      <dgm:prSet presAssocID="{E42AA4E4-4CE3-46E9-B9CE-E3C3949630C3}" presName="childNode" presStyleLbl="node1" presStyleIdx="4" presStyleCnt="9" custScaleX="120589" custScaleY="42179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</dgm:pt>
    <dgm:pt modelId="{8CFC5A69-DB1C-4B06-8D0A-83F36398D54F}" type="pres">
      <dgm:prSet presAssocID="{3674E33D-8B27-4C1A-B652-68D025B97537}" presName="compNode" presStyleCnt="0"/>
      <dgm:spPr/>
    </dgm:pt>
    <dgm:pt modelId="{173929A1-967C-4CFB-9E9C-8B27F18FDFFF}" type="pres">
      <dgm:prSet presAssocID="{3674E33D-8B27-4C1A-B652-68D025B97537}" presName="aNode" presStyleLbl="bgShp" presStyleIdx="2" presStyleCnt="3" custLinFactNeighborX="489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</dgm:pt>
    <dgm:pt modelId="{B90CBA9E-7A98-4AF0-B126-8E3C13744470}" type="pres">
      <dgm:prSet presAssocID="{3674E33D-8B27-4C1A-B652-68D025B97537}" presName="theInnerList" presStyleCnt="0"/>
      <dgm:spPr/>
    </dgm:pt>
    <dgm:pt modelId="{6F85DA38-8515-4187-81C6-3C6D9C0CF1ED}" type="pres">
      <dgm:prSet presAssocID="{7E1830F2-5972-45A9-92D5-3FC9D6FE639D}" presName="childNode" presStyleLbl="node1" presStyleIdx="6" presStyleCnt="9" custScaleX="122022" custScaleY="47732" custLinFactNeighborX="2145" custLinFactNeighborY="-547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</dgm:pt>
    <dgm:pt modelId="{9C61B4A9-59A6-41A7-A5DA-A4F88C9B05EC}" type="pres">
      <dgm:prSet presAssocID="{F3C47FE1-0D94-4F33-89B1-FD62F21DDE3D}" presName="childNode" presStyleLbl="node1" presStyleIdx="7" presStyleCnt="9" custScaleX="121532" custScaleY="37533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</dgm:pt>
    <dgm:pt modelId="{95088396-CEC1-45DD-804F-0F41AADB86E3}" type="pres">
      <dgm:prSet presAssocID="{FB958280-55D0-4252-BB34-22CB3DCE2071}" presName="childNode" presStyleLbl="node1" presStyleIdx="8" presStyleCnt="9" custScaleX="125976" custScaleY="59589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FE80980E-D92F-43F2-8E14-BE80BEF5B465}" type="presOf" srcId="{3674E33D-8B27-4C1A-B652-68D025B97537}" destId="{1D81B244-0EAF-4E6E-960F-3EF07835721E}" srcOrd="1" destOrd="0" presId="urn:microsoft.com/office/officeart/2005/8/layout/lProcess2"/>
    <dgm:cxn modelId="{037A5D5A-88A4-45CF-A96F-D0912BE6ACCA}" type="presOf" srcId="{D3FDBD3B-51B0-41D5-8F1F-238FFFB56A91}" destId="{973D5DDF-B9A8-408E-BA24-B2094E487AA5}" srcOrd="1" destOrd="0" presId="urn:microsoft.com/office/officeart/2005/8/layout/lProcess2"/>
    <dgm:cxn modelId="{C053DD01-B139-4A44-83FC-F3A2CCEF2A37}" type="presOf" srcId="{92B33AD4-C2C2-48C0-8BC9-661ABA694C1C}" destId="{22A2A73C-654B-4587-AA91-934DBD585DC4}" srcOrd="0" destOrd="0" presId="urn:microsoft.com/office/officeart/2005/8/layout/lProcess2"/>
    <dgm:cxn modelId="{1B1988C4-75CF-4735-952A-9830E19BE591}" type="presOf" srcId="{F3C47FE1-0D94-4F33-89B1-FD62F21DDE3D}" destId="{9C61B4A9-59A6-41A7-A5DA-A4F88C9B05EC}" srcOrd="0" destOrd="0" presId="urn:microsoft.com/office/officeart/2005/8/layout/lProcess2"/>
    <dgm:cxn modelId="{252F4820-D159-4FCE-9F82-841FCDD67FBF}" type="presOf" srcId="{0DF7D2E2-A6FC-4AB8-B605-61D4BBD64FD0}" destId="{BCEE8F43-AADA-409D-B455-EB48CD74E13F}" srcOrd="1" destOrd="0" presId="urn:microsoft.com/office/officeart/2005/8/layout/lProcess2"/>
    <dgm:cxn modelId="{EBBD6981-D72E-49EF-A3C2-87F03F7F7C3A}" type="presOf" srcId="{3674E33D-8B27-4C1A-B652-68D025B97537}" destId="{173929A1-967C-4CFB-9E9C-8B27F18FDFFF}" srcOrd="0" destOrd="0" presId="urn:microsoft.com/office/officeart/2005/8/layout/lProcess2"/>
    <dgm:cxn modelId="{99A0A1E2-817F-4FE5-AE7F-22A1392A21D3}" type="presOf" srcId="{83BB2042-9755-485B-9A0D-CEA855E2E913}" destId="{7E0E7086-0779-4EE4-90A2-E516F5E4B779}" srcOrd="0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9BE18ACB-7BC4-4594-8E4C-B62BC4408191}" type="presOf" srcId="{58D6A665-17B7-4C4A-B82C-8883D374452F}" destId="{57A443D7-5825-44BD-A5ED-C6E1FF409E42}" srcOrd="0" destOrd="0" presId="urn:microsoft.com/office/officeart/2005/8/layout/lProcess2"/>
    <dgm:cxn modelId="{2F04F8C7-8EFF-4B87-B036-5194AD82A518}" type="presOf" srcId="{FBD828C5-1EEA-4259-802F-0F316DB2AD3B}" destId="{B995AA39-D88B-4F5D-A2D0-044F059CE9BB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FDDE7271-F30F-4DB1-AE8B-DBFF5353FCA6}" type="presOf" srcId="{E42AA4E4-4CE3-46E9-B9CE-E3C3949630C3}" destId="{74A7BFD7-DE4B-4CEF-9E5B-9E14C4720914}" srcOrd="0" destOrd="0" presId="urn:microsoft.com/office/officeart/2005/8/layout/lProcess2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A8A8C73E-BD79-4422-9A9D-EED66A71BB78}" type="presOf" srcId="{6EDC4DD3-7BE0-466A-A8A1-307F476A455E}" destId="{2C596296-6704-4CC8-B9BF-52C838285E88}" srcOrd="0" destOrd="0" presId="urn:microsoft.com/office/officeart/2005/8/layout/lProcess2"/>
    <dgm:cxn modelId="{439E966A-7616-4CFF-A45C-BE73B8EB3AE3}" type="presOf" srcId="{0DF7D2E2-A6FC-4AB8-B605-61D4BBD64FD0}" destId="{E9F66DB0-F6F9-4B80-B84F-9BDE22F808C2}" srcOrd="0" destOrd="0" presId="urn:microsoft.com/office/officeart/2005/8/layout/lProcess2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07FFEFB5-4C95-415F-A610-2C8AB3EBFD89}" type="presOf" srcId="{FB958280-55D0-4252-BB34-22CB3DCE2071}" destId="{95088396-CEC1-45DD-804F-0F41AADB86E3}" srcOrd="0" destOrd="0" presId="urn:microsoft.com/office/officeart/2005/8/layout/lProcess2"/>
    <dgm:cxn modelId="{EC5CDA4E-512B-4836-BEB0-75700C41A417}" type="presOf" srcId="{D3FDBD3B-51B0-41D5-8F1F-238FFFB56A91}" destId="{614F77F8-D6F7-450F-BA8F-44B3EE5E93A3}" srcOrd="0" destOrd="0" presId="urn:microsoft.com/office/officeart/2005/8/layout/lProcess2"/>
    <dgm:cxn modelId="{7D11A2CB-3549-4687-854B-E6D2D4B0C425}" type="presOf" srcId="{7E1830F2-5972-45A9-92D5-3FC9D6FE639D}" destId="{6F85DA38-8515-4187-81C6-3C6D9C0CF1ED}" srcOrd="0" destOrd="0" presId="urn:microsoft.com/office/officeart/2005/8/layout/lProcess2"/>
    <dgm:cxn modelId="{5BC3AB7E-AAC1-4961-86E5-B124B2457732}" type="presOf" srcId="{ACB2C5C0-1D57-482F-9B3E-5B1CEA3D08BA}" destId="{C9DFF695-92BA-40E1-BF2F-96E68E19F27E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36FE3F3D-B6F3-4E8B-9C34-CCB168C05B85}" type="presParOf" srcId="{C9DFF695-92BA-40E1-BF2F-96E68E19F27E}" destId="{C21BE76E-E4A4-4409-9323-DB44565DCC56}" srcOrd="0" destOrd="0" presId="urn:microsoft.com/office/officeart/2005/8/layout/lProcess2"/>
    <dgm:cxn modelId="{95E62E42-C675-45E0-A81E-AB31FE1167E2}" type="presParOf" srcId="{C21BE76E-E4A4-4409-9323-DB44565DCC56}" destId="{614F77F8-D6F7-450F-BA8F-44B3EE5E93A3}" srcOrd="0" destOrd="0" presId="urn:microsoft.com/office/officeart/2005/8/layout/lProcess2"/>
    <dgm:cxn modelId="{8880CF7B-9E6C-47A0-9327-DC60E383AD16}" type="presParOf" srcId="{C21BE76E-E4A4-4409-9323-DB44565DCC56}" destId="{973D5DDF-B9A8-408E-BA24-B2094E487AA5}" srcOrd="1" destOrd="0" presId="urn:microsoft.com/office/officeart/2005/8/layout/lProcess2"/>
    <dgm:cxn modelId="{22BA74F7-4D65-4E26-9F16-9E5DB04154CD}" type="presParOf" srcId="{C21BE76E-E4A4-4409-9323-DB44565DCC56}" destId="{B9284097-10B9-4041-A8D0-D29BD4F7724F}" srcOrd="2" destOrd="0" presId="urn:microsoft.com/office/officeart/2005/8/layout/lProcess2"/>
    <dgm:cxn modelId="{6B0D9CB5-C2AA-4727-8C53-B741B8E55737}" type="presParOf" srcId="{B9284097-10B9-4041-A8D0-D29BD4F7724F}" destId="{EB7F96A0-D7E4-4053-9680-FC5E88E08F70}" srcOrd="0" destOrd="0" presId="urn:microsoft.com/office/officeart/2005/8/layout/lProcess2"/>
    <dgm:cxn modelId="{89929964-9CF9-463E-B9A4-05939AFF7F94}" type="presParOf" srcId="{EB7F96A0-D7E4-4053-9680-FC5E88E08F70}" destId="{B995AA39-D88B-4F5D-A2D0-044F059CE9BB}" srcOrd="0" destOrd="0" presId="urn:microsoft.com/office/officeart/2005/8/layout/lProcess2"/>
    <dgm:cxn modelId="{3ECE2232-7FCA-4E21-9A9F-62B4A6AF0363}" type="presParOf" srcId="{EB7F96A0-D7E4-4053-9680-FC5E88E08F70}" destId="{6866DCC9-6CE8-4490-8212-350C638880B3}" srcOrd="1" destOrd="0" presId="urn:microsoft.com/office/officeart/2005/8/layout/lProcess2"/>
    <dgm:cxn modelId="{2682D4F4-305D-4BF7-B185-11CCF6638752}" type="presParOf" srcId="{EB7F96A0-D7E4-4053-9680-FC5E88E08F70}" destId="{2C596296-6704-4CC8-B9BF-52C838285E88}" srcOrd="2" destOrd="0" presId="urn:microsoft.com/office/officeart/2005/8/layout/lProcess2"/>
    <dgm:cxn modelId="{A61512E6-9695-498C-92C2-189541A4FA40}" type="presParOf" srcId="{EB7F96A0-D7E4-4053-9680-FC5E88E08F70}" destId="{C562686A-BA5B-411F-8E87-874D9EB8F3A2}" srcOrd="3" destOrd="0" presId="urn:microsoft.com/office/officeart/2005/8/layout/lProcess2"/>
    <dgm:cxn modelId="{BC03A6E5-B531-402B-BA88-4BB17FE61028}" type="presParOf" srcId="{EB7F96A0-D7E4-4053-9680-FC5E88E08F70}" destId="{22A2A73C-654B-4587-AA91-934DBD585DC4}" srcOrd="4" destOrd="0" presId="urn:microsoft.com/office/officeart/2005/8/layout/lProcess2"/>
    <dgm:cxn modelId="{2301FC50-DA68-4D0B-97B9-83145AAD417C}" type="presParOf" srcId="{C9DFF695-92BA-40E1-BF2F-96E68E19F27E}" destId="{8014F4B4-E489-4E21-B754-729F7E6A2F1D}" srcOrd="1" destOrd="0" presId="urn:microsoft.com/office/officeart/2005/8/layout/lProcess2"/>
    <dgm:cxn modelId="{10B9749E-0E6B-4F0D-BCAF-B4EF938B0E78}" type="presParOf" srcId="{C9DFF695-92BA-40E1-BF2F-96E68E19F27E}" destId="{C0D08081-2729-49B6-BDC0-E0A5F7D256AE}" srcOrd="2" destOrd="0" presId="urn:microsoft.com/office/officeart/2005/8/layout/lProcess2"/>
    <dgm:cxn modelId="{A239C047-5B6E-4223-8F55-1616BF5640FA}" type="presParOf" srcId="{C0D08081-2729-49B6-BDC0-E0A5F7D256AE}" destId="{E9F66DB0-F6F9-4B80-B84F-9BDE22F808C2}" srcOrd="0" destOrd="0" presId="urn:microsoft.com/office/officeart/2005/8/layout/lProcess2"/>
    <dgm:cxn modelId="{591DCD62-5594-4E5B-9F17-FA9356940FB4}" type="presParOf" srcId="{C0D08081-2729-49B6-BDC0-E0A5F7D256AE}" destId="{BCEE8F43-AADA-409D-B455-EB48CD74E13F}" srcOrd="1" destOrd="0" presId="urn:microsoft.com/office/officeart/2005/8/layout/lProcess2"/>
    <dgm:cxn modelId="{CF48BC30-7AD8-427E-8471-6F6C03B3A675}" type="presParOf" srcId="{C0D08081-2729-49B6-BDC0-E0A5F7D256AE}" destId="{9ECD4FC3-DF59-4531-8A71-18D81B93A9A3}" srcOrd="2" destOrd="0" presId="urn:microsoft.com/office/officeart/2005/8/layout/lProcess2"/>
    <dgm:cxn modelId="{2C57B3A7-C159-4CA6-A5E7-C26568CFCE89}" type="presParOf" srcId="{9ECD4FC3-DF59-4531-8A71-18D81B93A9A3}" destId="{CDF03F4F-2E06-4FBA-B1B3-26C3CC68D443}" srcOrd="0" destOrd="0" presId="urn:microsoft.com/office/officeart/2005/8/layout/lProcess2"/>
    <dgm:cxn modelId="{5866C0DD-366C-4331-B097-C43F109367C0}" type="presParOf" srcId="{CDF03F4F-2E06-4FBA-B1B3-26C3CC68D443}" destId="{57A443D7-5825-44BD-A5ED-C6E1FF409E42}" srcOrd="0" destOrd="0" presId="urn:microsoft.com/office/officeart/2005/8/layout/lProcess2"/>
    <dgm:cxn modelId="{5A419197-D5B8-4459-BFD2-42576DDEB013}" type="presParOf" srcId="{CDF03F4F-2E06-4FBA-B1B3-26C3CC68D443}" destId="{43003354-745F-4015-ADE1-204DC83569E6}" srcOrd="1" destOrd="0" presId="urn:microsoft.com/office/officeart/2005/8/layout/lProcess2"/>
    <dgm:cxn modelId="{AFF4929C-B241-47A7-97DA-0D629CE8C0CB}" type="presParOf" srcId="{CDF03F4F-2E06-4FBA-B1B3-26C3CC68D443}" destId="{74A7BFD7-DE4B-4CEF-9E5B-9E14C4720914}" srcOrd="2" destOrd="0" presId="urn:microsoft.com/office/officeart/2005/8/layout/lProcess2"/>
    <dgm:cxn modelId="{F355ABED-2266-420B-B6D3-7E7B2F62D6D0}" type="presParOf" srcId="{CDF03F4F-2E06-4FBA-B1B3-26C3CC68D443}" destId="{763CD144-F6D0-4FAC-824B-6DF6C643FA50}" srcOrd="3" destOrd="0" presId="urn:microsoft.com/office/officeart/2005/8/layout/lProcess2"/>
    <dgm:cxn modelId="{C456BB70-6911-487E-9F49-3A5DF4209535}" type="presParOf" srcId="{CDF03F4F-2E06-4FBA-B1B3-26C3CC68D443}" destId="{7E0E7086-0779-4EE4-90A2-E516F5E4B779}" srcOrd="4" destOrd="0" presId="urn:microsoft.com/office/officeart/2005/8/layout/lProcess2"/>
    <dgm:cxn modelId="{9E9E99A9-429D-4D1D-9A9E-BE4D94387FB4}" type="presParOf" srcId="{C9DFF695-92BA-40E1-BF2F-96E68E19F27E}" destId="{EE05B2E9-1CB8-4F75-AE06-E7B38DD032E3}" srcOrd="3" destOrd="0" presId="urn:microsoft.com/office/officeart/2005/8/layout/lProcess2"/>
    <dgm:cxn modelId="{CAC25EB5-19F0-4BF1-868A-9711D0E7C83B}" type="presParOf" srcId="{C9DFF695-92BA-40E1-BF2F-96E68E19F27E}" destId="{8CFC5A69-DB1C-4B06-8D0A-83F36398D54F}" srcOrd="4" destOrd="0" presId="urn:microsoft.com/office/officeart/2005/8/layout/lProcess2"/>
    <dgm:cxn modelId="{7CE5F82B-6991-4A60-994C-9F17FC90E416}" type="presParOf" srcId="{8CFC5A69-DB1C-4B06-8D0A-83F36398D54F}" destId="{173929A1-967C-4CFB-9E9C-8B27F18FDFFF}" srcOrd="0" destOrd="0" presId="urn:microsoft.com/office/officeart/2005/8/layout/lProcess2"/>
    <dgm:cxn modelId="{647695AD-11BB-4C3E-9B52-98CB4AB3F014}" type="presParOf" srcId="{8CFC5A69-DB1C-4B06-8D0A-83F36398D54F}" destId="{1D81B244-0EAF-4E6E-960F-3EF07835721E}" srcOrd="1" destOrd="0" presId="urn:microsoft.com/office/officeart/2005/8/layout/lProcess2"/>
    <dgm:cxn modelId="{5986EC18-7F28-4CF5-890C-314B5E67ACB1}" type="presParOf" srcId="{8CFC5A69-DB1C-4B06-8D0A-83F36398D54F}" destId="{B51912BE-C637-44AE-83D6-1E023F73D763}" srcOrd="2" destOrd="0" presId="urn:microsoft.com/office/officeart/2005/8/layout/lProcess2"/>
    <dgm:cxn modelId="{931094CE-F99D-4727-9198-40D51825D304}" type="presParOf" srcId="{B51912BE-C637-44AE-83D6-1E023F73D763}" destId="{B90CBA9E-7A98-4AF0-B126-8E3C13744470}" srcOrd="0" destOrd="0" presId="urn:microsoft.com/office/officeart/2005/8/layout/lProcess2"/>
    <dgm:cxn modelId="{56703591-26AD-4D5B-94BC-10916061367F}" type="presParOf" srcId="{B90CBA9E-7A98-4AF0-B126-8E3C13744470}" destId="{6F85DA38-8515-4187-81C6-3C6D9C0CF1ED}" srcOrd="0" destOrd="0" presId="urn:microsoft.com/office/officeart/2005/8/layout/lProcess2"/>
    <dgm:cxn modelId="{EAE75066-AA3D-4CEF-B3CA-E38FCD429588}" type="presParOf" srcId="{B90CBA9E-7A98-4AF0-B126-8E3C13744470}" destId="{D7AD3CFA-F36E-46B2-9FCB-DC33E991051C}" srcOrd="1" destOrd="0" presId="urn:microsoft.com/office/officeart/2005/8/layout/lProcess2"/>
    <dgm:cxn modelId="{43518911-3D88-43C5-867B-E0CF70CFD4C6}" type="presParOf" srcId="{B90CBA9E-7A98-4AF0-B126-8E3C13744470}" destId="{9C61B4A9-59A6-41A7-A5DA-A4F88C9B05EC}" srcOrd="2" destOrd="0" presId="urn:microsoft.com/office/officeart/2005/8/layout/lProcess2"/>
    <dgm:cxn modelId="{D64D0B9A-3884-49C1-9CAF-CDC2E5191D15}" type="presParOf" srcId="{B90CBA9E-7A98-4AF0-B126-8E3C13744470}" destId="{F4E566A6-2331-4D64-8A00-2241388C63C9}" srcOrd="3" destOrd="0" presId="urn:microsoft.com/office/officeart/2005/8/layout/lProcess2"/>
    <dgm:cxn modelId="{C8B977B7-325E-4D2C-8AD1-A9FD36A4C8A7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23201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97117" y="92983"/>
          <a:ext cx="5189256" cy="517001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2018 рік (46344,3 тис.грн.)</a:t>
          </a:r>
          <a:endParaRPr lang="ru-RU" sz="140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2355" y="118221"/>
        <a:ext cx="5138780" cy="466525"/>
      </dsp:txXfrm>
    </dsp:sp>
    <dsp:sp modelId="{298D072D-732E-45E1-B61E-2D9E2845DA40}">
      <dsp:nvSpPr>
        <dsp:cNvPr id="0" name=""/>
        <dsp:cNvSpPr/>
      </dsp:nvSpPr>
      <dsp:spPr>
        <a:xfrm>
          <a:off x="0" y="1118983"/>
          <a:ext cx="5486400" cy="24999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85400" y="844010"/>
          <a:ext cx="5210500" cy="570172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2019 рік (52387,2 тис.грн.)</a:t>
          </a:r>
          <a:endParaRPr lang="ru-RU" sz="1400" b="1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13234" y="871844"/>
        <a:ext cx="5154832" cy="514504"/>
      </dsp:txXfrm>
    </dsp:sp>
    <dsp:sp modelId="{92FB4DFA-33A5-47A1-A142-B69F92122232}">
      <dsp:nvSpPr>
        <dsp:cNvPr id="0" name=""/>
        <dsp:cNvSpPr/>
      </dsp:nvSpPr>
      <dsp:spPr>
        <a:xfrm>
          <a:off x="0" y="148604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33349" y="1524599"/>
          <a:ext cx="5189218" cy="304262"/>
        </a:xfrm>
        <a:prstGeom prst="round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становить  113% (+6042,9 тис.грн.)</a:t>
          </a:r>
        </a:p>
      </dsp:txBody>
      <dsp:txXfrm>
        <a:off x="148202" y="1539452"/>
        <a:ext cx="5159512" cy="2745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94347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sp:txBody>
      <dsp:txXfrm>
        <a:off x="0" y="0"/>
        <a:ext cx="6162675" cy="494347"/>
      </dsp:txXfrm>
    </dsp:sp>
    <dsp:sp modelId="{AA2C7FBE-A683-447C-98C1-6693C7463562}">
      <dsp:nvSpPr>
        <dsp:cNvPr id="0" name=""/>
        <dsp:cNvSpPr/>
      </dsp:nvSpPr>
      <dsp:spPr>
        <a:xfrm>
          <a:off x="857" y="494347"/>
          <a:ext cx="2170869" cy="10381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2018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-1087,5 тис.грн.</a:t>
          </a:r>
        </a:p>
      </dsp:txBody>
      <dsp:txXfrm>
        <a:off x="857" y="494347"/>
        <a:ext cx="2170869" cy="1038129"/>
      </dsp:txXfrm>
    </dsp:sp>
    <dsp:sp modelId="{92E200D2-BF6A-406B-991E-DEF1A3D6F8B7}">
      <dsp:nvSpPr>
        <dsp:cNvPr id="0" name=""/>
        <dsp:cNvSpPr/>
      </dsp:nvSpPr>
      <dsp:spPr>
        <a:xfrm>
          <a:off x="2171726" y="494347"/>
          <a:ext cx="1995045" cy="10381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-3484,4 тис.грн.</a:t>
          </a:r>
        </a:p>
      </dsp:txBody>
      <dsp:txXfrm>
        <a:off x="2171726" y="494347"/>
        <a:ext cx="1995045" cy="1038129"/>
      </dsp:txXfrm>
    </dsp:sp>
    <dsp:sp modelId="{EE63E7A9-C424-4EE0-87C3-09471F56FF67}">
      <dsp:nvSpPr>
        <dsp:cNvPr id="0" name=""/>
        <dsp:cNvSpPr/>
      </dsp:nvSpPr>
      <dsp:spPr>
        <a:xfrm>
          <a:off x="4166772" y="494347"/>
          <a:ext cx="1995045" cy="10381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+2396,9 тис.грн. або 320,4%</a:t>
          </a:r>
        </a:p>
      </dsp:txBody>
      <dsp:txXfrm>
        <a:off x="4166772" y="494347"/>
        <a:ext cx="1995045" cy="1038129"/>
      </dsp:txXfrm>
    </dsp:sp>
    <dsp:sp modelId="{2B51B7EF-26D3-462D-9212-E7CEBAE28676}">
      <dsp:nvSpPr>
        <dsp:cNvPr id="0" name=""/>
        <dsp:cNvSpPr/>
      </dsp:nvSpPr>
      <dsp:spPr>
        <a:xfrm>
          <a:off x="0" y="1532477"/>
          <a:ext cx="6162675" cy="115347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71487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sp:txBody>
      <dsp:txXfrm>
        <a:off x="0" y="0"/>
        <a:ext cx="6162675" cy="471487"/>
      </dsp:txXfrm>
    </dsp:sp>
    <dsp:sp modelId="{AA2C7FBE-A683-447C-98C1-6693C7463562}">
      <dsp:nvSpPr>
        <dsp:cNvPr id="0" name=""/>
        <dsp:cNvSpPr/>
      </dsp:nvSpPr>
      <dsp:spPr>
        <a:xfrm>
          <a:off x="3009" y="471487"/>
          <a:ext cx="2052218" cy="9901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208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-403,0 тис.грн.</a:t>
          </a:r>
        </a:p>
      </dsp:txBody>
      <dsp:txXfrm>
        <a:off x="3009" y="471487"/>
        <a:ext cx="2052218" cy="990123"/>
      </dsp:txXfrm>
    </dsp:sp>
    <dsp:sp modelId="{92E200D2-BF6A-406B-991E-DEF1A3D6F8B7}">
      <dsp:nvSpPr>
        <dsp:cNvPr id="0" name=""/>
        <dsp:cNvSpPr/>
      </dsp:nvSpPr>
      <dsp:spPr>
        <a:xfrm>
          <a:off x="2055228" y="471487"/>
          <a:ext cx="2052218" cy="9901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-786,2 тис.грн</a:t>
          </a: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.</a:t>
          </a:r>
        </a:p>
      </dsp:txBody>
      <dsp:txXfrm>
        <a:off x="2055228" y="471487"/>
        <a:ext cx="2052218" cy="990123"/>
      </dsp:txXfrm>
    </dsp:sp>
    <dsp:sp modelId="{EE63E7A9-C424-4EE0-87C3-09471F56FF67}">
      <dsp:nvSpPr>
        <dsp:cNvPr id="0" name=""/>
        <dsp:cNvSpPr/>
      </dsp:nvSpPr>
      <dsp:spPr>
        <a:xfrm>
          <a:off x="4107446" y="471487"/>
          <a:ext cx="2052218" cy="9901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      +383,2 тис.грн.                 або 195,1%</a:t>
          </a:r>
        </a:p>
      </dsp:txBody>
      <dsp:txXfrm>
        <a:off x="4107446" y="471487"/>
        <a:ext cx="2052218" cy="990123"/>
      </dsp:txXfrm>
    </dsp:sp>
    <dsp:sp modelId="{2B51B7EF-26D3-462D-9212-E7CEBAE28676}">
      <dsp:nvSpPr>
        <dsp:cNvPr id="0" name=""/>
        <dsp:cNvSpPr/>
      </dsp:nvSpPr>
      <dsp:spPr>
        <a:xfrm>
          <a:off x="0" y="1461611"/>
          <a:ext cx="6162675" cy="110013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54342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sp:txBody>
      <dsp:txXfrm>
        <a:off x="0" y="0"/>
        <a:ext cx="6162675" cy="454342"/>
      </dsp:txXfrm>
    </dsp:sp>
    <dsp:sp modelId="{AA2C7FBE-A683-447C-98C1-6693C7463562}">
      <dsp:nvSpPr>
        <dsp:cNvPr id="0" name=""/>
        <dsp:cNvSpPr/>
      </dsp:nvSpPr>
      <dsp:spPr>
        <a:xfrm>
          <a:off x="3009" y="454342"/>
          <a:ext cx="2052218" cy="954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2018</a:t>
          </a: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-9248,8 тис.грн.</a:t>
          </a:r>
        </a:p>
      </dsp:txBody>
      <dsp:txXfrm>
        <a:off x="3009" y="454342"/>
        <a:ext cx="2052218" cy="954119"/>
      </dsp:txXfrm>
    </dsp:sp>
    <dsp:sp modelId="{92E200D2-BF6A-406B-991E-DEF1A3D6F8B7}">
      <dsp:nvSpPr>
        <dsp:cNvPr id="0" name=""/>
        <dsp:cNvSpPr/>
      </dsp:nvSpPr>
      <dsp:spPr>
        <a:xfrm>
          <a:off x="2055228" y="454342"/>
          <a:ext cx="2052218" cy="954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-13081,6 тис.грн.</a:t>
          </a:r>
        </a:p>
      </dsp:txBody>
      <dsp:txXfrm>
        <a:off x="2055228" y="454342"/>
        <a:ext cx="2052218" cy="954119"/>
      </dsp:txXfrm>
    </dsp:sp>
    <dsp:sp modelId="{EE63E7A9-C424-4EE0-87C3-09471F56FF67}">
      <dsp:nvSpPr>
        <dsp:cNvPr id="0" name=""/>
        <dsp:cNvSpPr/>
      </dsp:nvSpPr>
      <dsp:spPr>
        <a:xfrm>
          <a:off x="4107446" y="454342"/>
          <a:ext cx="2052218" cy="954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 +3832,8тис.грн. або 141,4%</a:t>
          </a:r>
        </a:p>
      </dsp:txBody>
      <dsp:txXfrm>
        <a:off x="4107446" y="454342"/>
        <a:ext cx="2052218" cy="954119"/>
      </dsp:txXfrm>
    </dsp:sp>
    <dsp:sp modelId="{2B51B7EF-26D3-462D-9212-E7CEBAE28676}">
      <dsp:nvSpPr>
        <dsp:cNvPr id="0" name=""/>
        <dsp:cNvSpPr/>
      </dsp:nvSpPr>
      <dsp:spPr>
        <a:xfrm>
          <a:off x="0" y="1408461"/>
          <a:ext cx="6162675" cy="106013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7720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sp:txBody>
      <dsp:txXfrm>
        <a:off x="0" y="0"/>
        <a:ext cx="6162675" cy="477202"/>
      </dsp:txXfrm>
    </dsp:sp>
    <dsp:sp modelId="{AA2C7FBE-A683-447C-98C1-6693C7463562}">
      <dsp:nvSpPr>
        <dsp:cNvPr id="0" name=""/>
        <dsp:cNvSpPr/>
      </dsp:nvSpPr>
      <dsp:spPr>
        <a:xfrm>
          <a:off x="3009" y="477202"/>
          <a:ext cx="205221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2018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-2024,3 тис.грн.</a:t>
          </a:r>
        </a:p>
      </dsp:txBody>
      <dsp:txXfrm>
        <a:off x="3009" y="477202"/>
        <a:ext cx="2052218" cy="1002125"/>
      </dsp:txXfrm>
    </dsp:sp>
    <dsp:sp modelId="{92E200D2-BF6A-406B-991E-DEF1A3D6F8B7}">
      <dsp:nvSpPr>
        <dsp:cNvPr id="0" name=""/>
        <dsp:cNvSpPr/>
      </dsp:nvSpPr>
      <dsp:spPr>
        <a:xfrm>
          <a:off x="2055228" y="477202"/>
          <a:ext cx="205221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2019 рік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-1934,9 тис.грн.</a:t>
          </a:r>
        </a:p>
      </dsp:txBody>
      <dsp:txXfrm>
        <a:off x="2055228" y="477202"/>
        <a:ext cx="2052218" cy="1002125"/>
      </dsp:txXfrm>
    </dsp:sp>
    <dsp:sp modelId="{EE63E7A9-C424-4EE0-87C3-09471F56FF67}">
      <dsp:nvSpPr>
        <dsp:cNvPr id="0" name=""/>
        <dsp:cNvSpPr/>
      </dsp:nvSpPr>
      <dsp:spPr>
        <a:xfrm>
          <a:off x="4107446" y="477202"/>
          <a:ext cx="205221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Темп росту     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-89,4 тис.грн.            або 95,6%</a:t>
          </a:r>
        </a:p>
      </dsp:txBody>
      <dsp:txXfrm>
        <a:off x="4107446" y="477202"/>
        <a:ext cx="2052218" cy="1002125"/>
      </dsp:txXfrm>
    </dsp:sp>
    <dsp:sp modelId="{2B51B7EF-26D3-462D-9212-E7CEBAE28676}">
      <dsp:nvSpPr>
        <dsp:cNvPr id="0" name=""/>
        <dsp:cNvSpPr/>
      </dsp:nvSpPr>
      <dsp:spPr>
        <a:xfrm>
          <a:off x="0" y="1479327"/>
          <a:ext cx="6162675" cy="11134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5045" cy="365760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</a:rPr>
            <a:t>Єдиний податок з юридичних осіб</a:t>
          </a:r>
        </a:p>
      </dsp:txBody>
      <dsp:txXfrm>
        <a:off x="1215" y="0"/>
        <a:ext cx="1995045" cy="1097280"/>
      </dsp:txXfrm>
    </dsp:sp>
    <dsp:sp modelId="{B995AA39-D88B-4F5D-A2D0-044F059CE9BB}">
      <dsp:nvSpPr>
        <dsp:cNvPr id="0" name=""/>
        <dsp:cNvSpPr/>
      </dsp:nvSpPr>
      <dsp:spPr>
        <a:xfrm>
          <a:off x="1207" y="925071"/>
          <a:ext cx="1939695" cy="676830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2018 рік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452,0 тис.грн. </a:t>
          </a: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               </a:t>
          </a:r>
        </a:p>
      </dsp:txBody>
      <dsp:txXfrm>
        <a:off x="21031" y="944895"/>
        <a:ext cx="1900047" cy="637182"/>
      </dsp:txXfrm>
    </dsp:sp>
    <dsp:sp modelId="{2C596296-6704-4CC8-B9BF-52C838285E88}">
      <dsp:nvSpPr>
        <dsp:cNvPr id="0" name=""/>
        <dsp:cNvSpPr/>
      </dsp:nvSpPr>
      <dsp:spPr>
        <a:xfrm>
          <a:off x="1199" y="1752026"/>
          <a:ext cx="1909609" cy="614226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2019 рік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431,7 тис.грн.</a:t>
          </a:r>
        </a:p>
      </dsp:txBody>
      <dsp:txXfrm>
        <a:off x="19189" y="1770016"/>
        <a:ext cx="1873629" cy="578246"/>
      </dsp:txXfrm>
    </dsp:sp>
    <dsp:sp modelId="{22A2A73C-654B-4587-AA91-934DBD585DC4}">
      <dsp:nvSpPr>
        <dsp:cNvPr id="0" name=""/>
        <dsp:cNvSpPr/>
      </dsp:nvSpPr>
      <dsp:spPr>
        <a:xfrm>
          <a:off x="1199" y="2512844"/>
          <a:ext cx="1947531" cy="767885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Темп росту -                 -20,3 тис.грн.,            або 95,5%</a:t>
          </a:r>
        </a:p>
      </dsp:txBody>
      <dsp:txXfrm>
        <a:off x="23690" y="2535335"/>
        <a:ext cx="1902549" cy="722903"/>
      </dsp:txXfrm>
    </dsp:sp>
    <dsp:sp modelId="{E9F66DB0-F6F9-4B80-B84F-9BDE22F808C2}">
      <dsp:nvSpPr>
        <dsp:cNvPr id="0" name=""/>
        <dsp:cNvSpPr/>
      </dsp:nvSpPr>
      <dsp:spPr>
        <a:xfrm>
          <a:off x="2152226" y="0"/>
          <a:ext cx="1995045" cy="365760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</a:rPr>
            <a:t>Єдиний  податок з фізичних осіб</a:t>
          </a:r>
        </a:p>
      </dsp:txBody>
      <dsp:txXfrm>
        <a:off x="2152226" y="0"/>
        <a:ext cx="1995045" cy="1097280"/>
      </dsp:txXfrm>
    </dsp:sp>
    <dsp:sp modelId="{57A443D7-5825-44BD-A5ED-C6E1FF409E42}">
      <dsp:nvSpPr>
        <dsp:cNvPr id="0" name=""/>
        <dsp:cNvSpPr/>
      </dsp:nvSpPr>
      <dsp:spPr>
        <a:xfrm>
          <a:off x="2127686" y="972183"/>
          <a:ext cx="2006201" cy="662492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2018 рік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6756,0 тис.грн.</a:t>
          </a:r>
        </a:p>
      </dsp:txBody>
      <dsp:txXfrm>
        <a:off x="2147090" y="991587"/>
        <a:ext cx="1967393" cy="623684"/>
      </dsp:txXfrm>
    </dsp:sp>
    <dsp:sp modelId="{74A7BFD7-DE4B-4CEF-9E5B-9E14C4720914}">
      <dsp:nvSpPr>
        <dsp:cNvPr id="0" name=""/>
        <dsp:cNvSpPr/>
      </dsp:nvSpPr>
      <dsp:spPr>
        <a:xfrm>
          <a:off x="2187426" y="1797346"/>
          <a:ext cx="1924644" cy="590504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2019 рік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7845,9 тис.грн. </a:t>
          </a:r>
        </a:p>
      </dsp:txBody>
      <dsp:txXfrm>
        <a:off x="2204721" y="1814641"/>
        <a:ext cx="1890054" cy="555914"/>
      </dsp:txXfrm>
    </dsp:sp>
    <dsp:sp modelId="{7E0E7086-0779-4EE4-90A2-E516F5E4B779}">
      <dsp:nvSpPr>
        <dsp:cNvPr id="0" name=""/>
        <dsp:cNvSpPr/>
      </dsp:nvSpPr>
      <dsp:spPr>
        <a:xfrm>
          <a:off x="2215867" y="2600273"/>
          <a:ext cx="1867761" cy="692382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Темп росту -      +1089,9 тис.грн.,   або 116,1%</a:t>
          </a:r>
        </a:p>
      </dsp:txBody>
      <dsp:txXfrm>
        <a:off x="2236146" y="2620552"/>
        <a:ext cx="1827203" cy="651824"/>
      </dsp:txXfrm>
    </dsp:sp>
    <dsp:sp modelId="{173929A1-967C-4CFB-9E9C-8B27F18FDFFF}">
      <dsp:nvSpPr>
        <dsp:cNvPr id="0" name=""/>
        <dsp:cNvSpPr/>
      </dsp:nvSpPr>
      <dsp:spPr>
        <a:xfrm>
          <a:off x="4320022" y="0"/>
          <a:ext cx="1995045" cy="365760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tx1"/>
              </a:solidFill>
            </a:rPr>
            <a:t>Єдиний податок з </a:t>
          </a:r>
          <a:r>
            <a:rPr lang="ru-RU" sz="2000" b="1" kern="1200">
              <a:solidFill>
                <a:schemeClr val="tx1"/>
              </a:solidFill>
            </a:rPr>
            <a:t>с/г </a:t>
          </a:r>
          <a:r>
            <a:rPr lang="ru-RU" sz="1800" b="1" kern="1200">
              <a:solidFill>
                <a:schemeClr val="tx1"/>
              </a:solidFill>
            </a:rPr>
            <a:t>товаровиробників</a:t>
          </a:r>
        </a:p>
      </dsp:txBody>
      <dsp:txXfrm>
        <a:off x="4320022" y="0"/>
        <a:ext cx="1995045" cy="1097280"/>
      </dsp:txXfrm>
    </dsp:sp>
    <dsp:sp modelId="{6F85DA38-8515-4187-81C6-3C6D9C0CF1ED}">
      <dsp:nvSpPr>
        <dsp:cNvPr id="0" name=""/>
        <dsp:cNvSpPr/>
      </dsp:nvSpPr>
      <dsp:spPr>
        <a:xfrm>
          <a:off x="4367559" y="983457"/>
          <a:ext cx="1947515" cy="646082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2018 рік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7111,2 тис.грн.</a:t>
          </a:r>
        </a:p>
      </dsp:txBody>
      <dsp:txXfrm>
        <a:off x="4386482" y="1002380"/>
        <a:ext cx="1909669" cy="608236"/>
      </dsp:txXfrm>
    </dsp:sp>
    <dsp:sp modelId="{9C61B4A9-59A6-41A7-A5DA-A4F88C9B05EC}">
      <dsp:nvSpPr>
        <dsp:cNvPr id="0" name=""/>
        <dsp:cNvSpPr/>
      </dsp:nvSpPr>
      <dsp:spPr>
        <a:xfrm>
          <a:off x="4366383" y="1840500"/>
          <a:ext cx="1939695" cy="508032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tx1"/>
              </a:solidFill>
            </a:rPr>
            <a:t>2019 рік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6230,2 тис.грн. </a:t>
          </a:r>
        </a:p>
      </dsp:txBody>
      <dsp:txXfrm>
        <a:off x="4381263" y="1855380"/>
        <a:ext cx="1909935" cy="478272"/>
      </dsp:txXfrm>
    </dsp:sp>
    <dsp:sp modelId="{95088396-CEC1-45DD-804F-0F41AADB86E3}">
      <dsp:nvSpPr>
        <dsp:cNvPr id="0" name=""/>
        <dsp:cNvSpPr/>
      </dsp:nvSpPr>
      <dsp:spPr>
        <a:xfrm>
          <a:off x="4298551" y="2538866"/>
          <a:ext cx="2010622" cy="806574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>
              <a:solidFill>
                <a:schemeClr val="tx1"/>
              </a:solidFill>
            </a:rPr>
            <a:t>Темп росту -                  -88,0 тис.грн.,   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>
              <a:solidFill>
                <a:schemeClr val="tx1"/>
              </a:solidFill>
            </a:rPr>
            <a:t>   або 87,6%</a:t>
          </a:r>
        </a:p>
      </dsp:txBody>
      <dsp:txXfrm>
        <a:off x="4322175" y="2562490"/>
        <a:ext cx="1963374" cy="7593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0.75508</cdr:y>
    </cdr:from>
    <cdr:to>
      <cdr:x>0.24505</cdr:x>
      <cdr:y>0.82122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0" y="3660775"/>
          <a:ext cx="1575518" cy="32067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uk-UA" sz="1400" b="1"/>
            <a:t>146035,5 тис.грн.</a:t>
          </a:r>
        </a:p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1.55536E-7</cdr:x>
      <cdr:y>0.48574</cdr:y>
    </cdr:from>
    <cdr:to>
      <cdr:x>0.24889</cdr:x>
      <cdr:y>0.55414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" y="2354963"/>
          <a:ext cx="1600199" cy="331618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uk-UA" sz="1400" b="1" baseline="0"/>
            <a:t>162660,0 </a:t>
          </a:r>
          <a:r>
            <a:rPr lang="uk-UA" sz="1400" b="1"/>
            <a:t>тис.грн.</a:t>
          </a:r>
        </a:p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0.74074</cdr:x>
      <cdr:y>0.47348</cdr:y>
    </cdr:from>
    <cdr:to>
      <cdr:x>0.96593</cdr:x>
      <cdr:y>0.59529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4762501" y="2295525"/>
          <a:ext cx="1447826" cy="59055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uk-UA" sz="1300" b="1"/>
            <a:t>+16624,5 тис.грн. (111,4%) </a:t>
          </a:r>
        </a:p>
        <a:p xmlns:a="http://schemas.openxmlformats.org/drawingml/2006/main">
          <a:endParaRPr lang="uk-UA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0.04056</cdr:x>
      <cdr:y>0.0986</cdr:y>
    </cdr:from>
    <cdr:to>
      <cdr:x>0.39314</cdr:x>
      <cdr:y>0.24444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47650" y="549412"/>
          <a:ext cx="2152676" cy="812663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40000"/>
            <a:lumOff val="60000"/>
          </a:schemeClr>
        </a:solidFill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uk-UA" sz="1600" b="1" cap="none" spc="0">
              <a:ln w="1225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chemeClr val="tx1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Times New Roman" pitchFamily="18" charset="0"/>
              <a:cs typeface="Times New Roman" pitchFamily="18" charset="0"/>
            </a:rPr>
            <a:t>Офіційні трансферти         -306,4</a:t>
          </a:r>
          <a:r>
            <a:rPr lang="uk-UA" sz="1600" b="1" cap="none" spc="0" baseline="0">
              <a:ln w="1225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chemeClr val="tx1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Times New Roman" pitchFamily="18" charset="0"/>
              <a:cs typeface="Times New Roman" pitchFamily="18" charset="0"/>
            </a:rPr>
            <a:t> </a:t>
          </a:r>
          <a:r>
            <a:rPr lang="uk-UA" sz="1600" b="1" cap="none" spc="0">
              <a:ln w="1225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chemeClr val="tx1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Times New Roman" pitchFamily="18" charset="0"/>
              <a:cs typeface="Times New Roman" pitchFamily="18" charset="0"/>
            </a:rPr>
            <a:t>тис.грн., 99,5%</a:t>
          </a:r>
        </a:p>
      </cdr:txBody>
    </cdr:sp>
  </cdr:relSizeAnchor>
  <cdr:relSizeAnchor xmlns:cdr="http://schemas.openxmlformats.org/drawingml/2006/chartDrawing">
    <cdr:from>
      <cdr:x>0.4961</cdr:x>
      <cdr:y>0.10447</cdr:y>
    </cdr:from>
    <cdr:to>
      <cdr:x>0.87052</cdr:x>
      <cdr:y>0.24274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0800000" flipH="1" flipV="1">
          <a:off x="3028950" y="582120"/>
          <a:ext cx="2286032" cy="77043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40000"/>
            <a:lumOff val="60000"/>
          </a:schemeClr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uk-UA" sz="1400" b="1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solidFill>
                <a:schemeClr val="tx1"/>
              </a:solidFill>
            </a:rPr>
            <a:t>Податки, збори та інші платежі                                    + 16930,9 тис.грн., 120,0%</a:t>
          </a:r>
        </a:p>
        <a:p xmlns:a="http://schemas.openxmlformats.org/drawingml/2006/main">
          <a:endParaRPr lang="uk-UA" sz="1400" b="1">
            <a:ln>
              <a:solidFill>
                <a:schemeClr val="tx2">
                  <a:lumMod val="60000"/>
                  <a:lumOff val="40000"/>
                </a:schemeClr>
              </a:solidFill>
            </a:ln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vertOverflow="clip"/>
      <a:lstStyle>
        <a:defPPr marL="0" marR="0" indent="0" algn="r" defTabSz="914400" eaLnBrk="1" fontAlgn="auto" latinLnBrk="0" hangingPunct="1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sz="1400" b="1"/>
        </a:defPPr>
      </a:lstStyle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DCBC-D7A0-44AE-81B4-62F48A49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5561</TotalTime>
  <Pages>20</Pages>
  <Words>6761</Words>
  <Characters>38543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1058</cp:revision>
  <cp:lastPrinted>2020-01-30T09:26:00Z</cp:lastPrinted>
  <dcterms:created xsi:type="dcterms:W3CDTF">2019-04-24T09:11:00Z</dcterms:created>
  <dcterms:modified xsi:type="dcterms:W3CDTF">2020-01-30T14:10:00Z</dcterms:modified>
</cp:coreProperties>
</file>