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495"/>
        <w:tblW w:w="15807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7"/>
        <w:gridCol w:w="1916"/>
        <w:gridCol w:w="439"/>
        <w:gridCol w:w="2477"/>
        <w:gridCol w:w="2742"/>
        <w:gridCol w:w="2418"/>
        <w:gridCol w:w="2419"/>
        <w:gridCol w:w="2419"/>
      </w:tblGrid>
      <w:tr w:rsidR="00BA302B" w:rsidRPr="00EB7F32" w:rsidTr="002E7439">
        <w:trPr>
          <w:trHeight w:val="788"/>
        </w:trPr>
        <w:tc>
          <w:tcPr>
            <w:tcW w:w="333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widowControl/>
              <w:tabs>
                <w:tab w:val="left" w:pos="880"/>
              </w:tabs>
              <w:spacing w:before="60" w:after="60"/>
              <w:jc w:val="center"/>
              <w:rPr>
                <w:rFonts w:eastAsia="@Arial Unicode MS"/>
                <w:b/>
                <w:lang w:val="uk-UA"/>
              </w:rPr>
            </w:pPr>
            <w:bookmarkStart w:id="0" w:name="_GoBack"/>
            <w:bookmarkEnd w:id="0"/>
            <w:r w:rsidRPr="00EB7F32">
              <w:rPr>
                <w:rFonts w:eastAsia="@Arial Unicode MS"/>
                <w:b/>
                <w:lang w:val="uk-UA"/>
              </w:rPr>
              <w:t>Рівень (бал)</w:t>
            </w:r>
          </w:p>
        </w:tc>
        <w:tc>
          <w:tcPr>
            <w:tcW w:w="12475" w:type="dxa"/>
            <w:gridSpan w:val="5"/>
            <w:shd w:val="clear" w:color="auto" w:fill="D9D9D9" w:themeFill="background1" w:themeFillShade="D9"/>
            <w:vAlign w:val="center"/>
          </w:tcPr>
          <w:p w:rsidR="00BA302B" w:rsidRPr="00EB7F32" w:rsidRDefault="00D72431" w:rsidP="002E7439">
            <w:pPr>
              <w:widowControl/>
              <w:tabs>
                <w:tab w:val="left" w:pos="880"/>
              </w:tabs>
              <w:spacing w:before="60" w:after="60"/>
              <w:jc w:val="center"/>
              <w:rPr>
                <w:rFonts w:eastAsia="@Arial Unicode MS"/>
                <w:b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-1212850</wp:posOffset>
                      </wp:positionV>
                      <wp:extent cx="2893060" cy="704850"/>
                      <wp:effectExtent l="0" t="4445" r="4445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306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51E2" w:rsidRPr="002751E2" w:rsidRDefault="002751E2">
                                  <w:pPr>
                                    <w:rPr>
                                      <w:sz w:val="28"/>
                                      <w:lang w:val="uk-UA"/>
                                    </w:rPr>
                                  </w:pPr>
                                  <w:r w:rsidRPr="002751E2">
                                    <w:rPr>
                                      <w:sz w:val="28"/>
                                      <w:lang w:val="uk-UA"/>
                                    </w:rPr>
                                    <w:t xml:space="preserve">Додаток 5 </w:t>
                                  </w:r>
                                </w:p>
                                <w:p w:rsidR="002751E2" w:rsidRPr="002751E2" w:rsidRDefault="002751E2">
                                  <w:pPr>
                                    <w:rPr>
                                      <w:sz w:val="28"/>
                                      <w:lang w:val="uk-UA"/>
                                    </w:rPr>
                                  </w:pPr>
                                  <w:r w:rsidRPr="002751E2">
                                    <w:rPr>
                                      <w:sz w:val="28"/>
                                      <w:lang w:val="uk-UA"/>
                                    </w:rPr>
                                    <w:t xml:space="preserve">до Інструкції з організації внутрішнього контролю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89.25pt;margin-top:-95.5pt;width:227.8pt;height:55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" stroked="f">
                      <v:textbox style="mso-fit-shape-to-text:t">
                        <w:txbxContent>
                          <w:p w:rsidR="002751E2" w:rsidRPr="002751E2" w:rsidRDefault="002751E2">
                            <w:pPr>
                              <w:rPr>
                                <w:sz w:val="28"/>
                                <w:lang w:val="uk-UA"/>
                              </w:rPr>
                            </w:pPr>
                            <w:r w:rsidRPr="002751E2">
                              <w:rPr>
                                <w:sz w:val="28"/>
                                <w:lang w:val="uk-UA"/>
                              </w:rPr>
                              <w:t xml:space="preserve">Додаток 5 </w:t>
                            </w:r>
                          </w:p>
                          <w:p w:rsidR="002751E2" w:rsidRPr="002751E2" w:rsidRDefault="002751E2">
                            <w:pPr>
                              <w:rPr>
                                <w:sz w:val="28"/>
                                <w:lang w:val="uk-UA"/>
                              </w:rPr>
                            </w:pPr>
                            <w:r w:rsidRPr="002751E2">
                              <w:rPr>
                                <w:sz w:val="28"/>
                                <w:lang w:val="uk-UA"/>
                              </w:rPr>
                              <w:t xml:space="preserve">до Інструкції з організації внутрішнього контролю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02B" w:rsidRPr="00EB7F32">
              <w:rPr>
                <w:rFonts w:eastAsia="@Arial Unicode MS"/>
                <w:b/>
                <w:lang w:val="uk-UA"/>
              </w:rPr>
              <w:t>ЙМОВІРНІСТЬ</w:t>
            </w:r>
          </w:p>
        </w:tc>
      </w:tr>
      <w:tr w:rsidR="00BA302B" w:rsidRPr="00EB7F32" w:rsidTr="002E7439">
        <w:trPr>
          <w:trHeight w:val="302"/>
        </w:trPr>
        <w:tc>
          <w:tcPr>
            <w:tcW w:w="3332" w:type="dxa"/>
            <w:gridSpan w:val="3"/>
            <w:vMerge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widowControl/>
              <w:tabs>
                <w:tab w:val="left" w:pos="880"/>
              </w:tabs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Рідко/майже не можливо</w:t>
            </w:r>
          </w:p>
        </w:tc>
        <w:tc>
          <w:tcPr>
            <w:tcW w:w="2742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Малоймовірно</w:t>
            </w:r>
          </w:p>
        </w:tc>
        <w:tc>
          <w:tcPr>
            <w:tcW w:w="2418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Середня</w:t>
            </w: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Можливо</w:t>
            </w: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Часто/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очікується</w:t>
            </w:r>
          </w:p>
        </w:tc>
      </w:tr>
      <w:tr w:rsidR="00BA302B" w:rsidRPr="00EB7F32" w:rsidTr="002E7439">
        <w:trPr>
          <w:trHeight w:val="302"/>
        </w:trPr>
        <w:tc>
          <w:tcPr>
            <w:tcW w:w="3332" w:type="dxa"/>
            <w:gridSpan w:val="3"/>
            <w:vMerge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widowControl/>
              <w:tabs>
                <w:tab w:val="left" w:pos="880"/>
              </w:tabs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b/>
                <w:lang w:val="uk-UA"/>
              </w:rPr>
            </w:pPr>
            <w:r w:rsidRPr="00EB7F32">
              <w:rPr>
                <w:rFonts w:eastAsia="@Arial Unicode MS"/>
                <w:b/>
                <w:lang w:val="uk-UA"/>
              </w:rPr>
              <w:t>1</w:t>
            </w:r>
          </w:p>
        </w:tc>
        <w:tc>
          <w:tcPr>
            <w:tcW w:w="2742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b/>
                <w:lang w:val="uk-UA"/>
              </w:rPr>
            </w:pPr>
            <w:r w:rsidRPr="00EB7F32">
              <w:rPr>
                <w:rFonts w:eastAsia="@Arial Unicode MS"/>
                <w:b/>
                <w:lang w:val="uk-UA"/>
              </w:rPr>
              <w:t>2</w:t>
            </w:r>
          </w:p>
        </w:tc>
        <w:tc>
          <w:tcPr>
            <w:tcW w:w="2418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b/>
                <w:lang w:val="uk-UA"/>
              </w:rPr>
            </w:pPr>
            <w:r w:rsidRPr="00EB7F32">
              <w:rPr>
                <w:rFonts w:eastAsia="@Arial Unicode MS"/>
                <w:b/>
                <w:lang w:val="uk-UA"/>
              </w:rPr>
              <w:t>3</w:t>
            </w: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b/>
                <w:lang w:val="uk-UA"/>
              </w:rPr>
            </w:pPr>
            <w:r w:rsidRPr="00EB7F32">
              <w:rPr>
                <w:rFonts w:eastAsia="@Arial Unicode MS"/>
                <w:b/>
                <w:lang w:val="uk-UA"/>
              </w:rPr>
              <w:t>4</w:t>
            </w: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b/>
                <w:lang w:val="uk-UA"/>
              </w:rPr>
            </w:pPr>
            <w:r w:rsidRPr="00EB7F32">
              <w:rPr>
                <w:rFonts w:eastAsia="@Arial Unicode MS"/>
                <w:b/>
                <w:lang w:val="uk-UA"/>
              </w:rPr>
              <w:t>5</w:t>
            </w:r>
          </w:p>
        </w:tc>
      </w:tr>
      <w:tr w:rsidR="00BA302B" w:rsidRPr="00EB7F32" w:rsidTr="002E7439">
        <w:trPr>
          <w:cantSplit/>
          <w:trHeight w:val="1296"/>
        </w:trPr>
        <w:tc>
          <w:tcPr>
            <w:tcW w:w="97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A302B" w:rsidRPr="00EB7F32" w:rsidRDefault="00BA302B" w:rsidP="002E7439">
            <w:pPr>
              <w:widowControl/>
              <w:tabs>
                <w:tab w:val="left" w:pos="880"/>
              </w:tabs>
              <w:spacing w:before="60" w:after="60"/>
              <w:ind w:left="113" w:right="113"/>
              <w:jc w:val="center"/>
              <w:rPr>
                <w:rFonts w:eastAsia="Calibri"/>
                <w:color w:val="FF0000"/>
                <w:sz w:val="28"/>
                <w:szCs w:val="28"/>
                <w:lang w:val="uk-UA" w:eastAsia="ru-RU"/>
              </w:rPr>
            </w:pPr>
            <w:r w:rsidRPr="00EB7F32">
              <w:rPr>
                <w:rFonts w:eastAsia="@Arial Unicode MS"/>
                <w:b/>
                <w:lang w:val="uk-UA"/>
              </w:rPr>
              <w:t>ВПЛИВ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Низький</w:t>
            </w:r>
          </w:p>
        </w:tc>
        <w:tc>
          <w:tcPr>
            <w:tcW w:w="439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b/>
                <w:lang w:val="uk-UA"/>
              </w:rPr>
            </w:pPr>
            <w:r w:rsidRPr="00EB7F32">
              <w:rPr>
                <w:rFonts w:eastAsia="@Arial Unicode MS"/>
                <w:b/>
                <w:lang w:val="uk-UA"/>
              </w:rPr>
              <w:t>1</w:t>
            </w:r>
          </w:p>
        </w:tc>
        <w:tc>
          <w:tcPr>
            <w:tcW w:w="2477" w:type="dxa"/>
            <w:shd w:val="clear" w:color="auto" w:fill="99CCFF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Низький (а) (1)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1* (1х1)</w:t>
            </w:r>
          </w:p>
        </w:tc>
        <w:tc>
          <w:tcPr>
            <w:tcW w:w="2742" w:type="dxa"/>
            <w:shd w:val="clear" w:color="auto" w:fill="99CCFF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Низький (а)</w:t>
            </w:r>
            <w:r>
              <w:rPr>
                <w:rFonts w:eastAsia="@Arial Unicode MS"/>
                <w:lang w:val="uk-UA"/>
              </w:rPr>
              <w:t xml:space="preserve"> </w:t>
            </w:r>
            <w:r w:rsidRPr="00EB7F32">
              <w:rPr>
                <w:rFonts w:eastAsia="@Arial Unicode MS"/>
                <w:lang w:val="uk-UA"/>
              </w:rPr>
              <w:t>(2)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2* (1х2)</w:t>
            </w:r>
          </w:p>
        </w:tc>
        <w:tc>
          <w:tcPr>
            <w:tcW w:w="2418" w:type="dxa"/>
            <w:shd w:val="clear" w:color="auto" w:fill="99CCFF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Низький (а) (3)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3* (1х3)</w:t>
            </w:r>
          </w:p>
        </w:tc>
        <w:tc>
          <w:tcPr>
            <w:tcW w:w="2419" w:type="dxa"/>
            <w:shd w:val="clear" w:color="auto" w:fill="99CCFF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Низький (а) (4)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4* (1х4)</w:t>
            </w:r>
          </w:p>
        </w:tc>
        <w:tc>
          <w:tcPr>
            <w:tcW w:w="2419" w:type="dxa"/>
            <w:shd w:val="clear" w:color="auto" w:fill="FFFF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Середній (я) (5)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5* (1х5)</w:t>
            </w:r>
          </w:p>
        </w:tc>
      </w:tr>
      <w:tr w:rsidR="00BA302B" w:rsidRPr="00EB7F32" w:rsidTr="002E7439">
        <w:trPr>
          <w:trHeight w:val="1276"/>
        </w:trPr>
        <w:tc>
          <w:tcPr>
            <w:tcW w:w="977" w:type="dxa"/>
            <w:vMerge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widowControl/>
              <w:tabs>
                <w:tab w:val="left" w:pos="880"/>
              </w:tabs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Середній</w:t>
            </w:r>
          </w:p>
        </w:tc>
        <w:tc>
          <w:tcPr>
            <w:tcW w:w="439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b/>
                <w:lang w:val="uk-UA"/>
              </w:rPr>
            </w:pPr>
            <w:r w:rsidRPr="00EB7F32">
              <w:rPr>
                <w:rFonts w:eastAsia="@Arial Unicode MS"/>
                <w:b/>
                <w:lang w:val="uk-UA"/>
              </w:rPr>
              <w:t>2</w:t>
            </w:r>
          </w:p>
        </w:tc>
        <w:tc>
          <w:tcPr>
            <w:tcW w:w="2477" w:type="dxa"/>
            <w:shd w:val="clear" w:color="auto" w:fill="99CCFF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Низький (а) (2)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2* (2х1)</w:t>
            </w:r>
          </w:p>
        </w:tc>
        <w:tc>
          <w:tcPr>
            <w:tcW w:w="2742" w:type="dxa"/>
            <w:shd w:val="clear" w:color="auto" w:fill="99CCFF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Низький (а)</w:t>
            </w:r>
            <w:r>
              <w:rPr>
                <w:rFonts w:eastAsia="@Arial Unicode MS"/>
                <w:lang w:val="uk-UA"/>
              </w:rPr>
              <w:t xml:space="preserve"> </w:t>
            </w:r>
            <w:r w:rsidRPr="00EB7F32">
              <w:rPr>
                <w:rFonts w:eastAsia="@Arial Unicode MS"/>
                <w:lang w:val="uk-UA"/>
              </w:rPr>
              <w:t>(4)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4* (2х2)</w:t>
            </w:r>
          </w:p>
        </w:tc>
        <w:tc>
          <w:tcPr>
            <w:tcW w:w="2418" w:type="dxa"/>
            <w:shd w:val="clear" w:color="auto" w:fill="FFFF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Середній (я) (6)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6* (2х3)</w:t>
            </w:r>
          </w:p>
        </w:tc>
        <w:tc>
          <w:tcPr>
            <w:tcW w:w="2419" w:type="dxa"/>
            <w:shd w:val="clear" w:color="auto" w:fill="FFFF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Середній (я) (8)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8* (2х4)</w:t>
            </w:r>
          </w:p>
        </w:tc>
        <w:tc>
          <w:tcPr>
            <w:tcW w:w="2419" w:type="dxa"/>
            <w:shd w:val="clear" w:color="auto" w:fill="FF66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Високий (а) (10)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10* (2х5)</w:t>
            </w:r>
          </w:p>
        </w:tc>
      </w:tr>
      <w:tr w:rsidR="00BA302B" w:rsidRPr="00EB7F32" w:rsidTr="002E7439">
        <w:trPr>
          <w:trHeight w:val="1318"/>
        </w:trPr>
        <w:tc>
          <w:tcPr>
            <w:tcW w:w="977" w:type="dxa"/>
            <w:vMerge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widowControl/>
              <w:tabs>
                <w:tab w:val="left" w:pos="880"/>
              </w:tabs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Високий</w:t>
            </w:r>
          </w:p>
        </w:tc>
        <w:tc>
          <w:tcPr>
            <w:tcW w:w="439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b/>
                <w:lang w:val="uk-UA"/>
              </w:rPr>
            </w:pPr>
            <w:r w:rsidRPr="00EB7F32">
              <w:rPr>
                <w:rFonts w:eastAsia="@Arial Unicode MS"/>
                <w:b/>
                <w:lang w:val="uk-UA"/>
              </w:rPr>
              <w:t>3</w:t>
            </w:r>
          </w:p>
        </w:tc>
        <w:tc>
          <w:tcPr>
            <w:tcW w:w="2477" w:type="dxa"/>
            <w:shd w:val="clear" w:color="auto" w:fill="99CCFF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Низький (а) (3)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3* (3х1)</w:t>
            </w:r>
          </w:p>
        </w:tc>
        <w:tc>
          <w:tcPr>
            <w:tcW w:w="2742" w:type="dxa"/>
            <w:shd w:val="clear" w:color="auto" w:fill="FFFF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Середній (я) (6)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6* (3х2)</w:t>
            </w:r>
          </w:p>
        </w:tc>
        <w:tc>
          <w:tcPr>
            <w:tcW w:w="2418" w:type="dxa"/>
            <w:shd w:val="clear" w:color="auto" w:fill="FFFF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Середній (я) (9)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9* (3х3)</w:t>
            </w:r>
          </w:p>
        </w:tc>
        <w:tc>
          <w:tcPr>
            <w:tcW w:w="2419" w:type="dxa"/>
            <w:shd w:val="clear" w:color="auto" w:fill="FF66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Високий (а) (12)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12* (3х4)</w:t>
            </w:r>
          </w:p>
        </w:tc>
        <w:tc>
          <w:tcPr>
            <w:tcW w:w="2419" w:type="dxa"/>
            <w:shd w:val="clear" w:color="auto" w:fill="FF00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Дуже високий (а) (15)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15* (3х5)</w:t>
            </w:r>
          </w:p>
        </w:tc>
      </w:tr>
      <w:tr w:rsidR="00BA302B" w:rsidRPr="00EB7F32" w:rsidTr="002E7439">
        <w:trPr>
          <w:trHeight w:val="1275"/>
        </w:trPr>
        <w:tc>
          <w:tcPr>
            <w:tcW w:w="977" w:type="dxa"/>
            <w:vMerge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widowControl/>
              <w:tabs>
                <w:tab w:val="left" w:pos="880"/>
              </w:tabs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Дуже високий</w:t>
            </w:r>
          </w:p>
        </w:tc>
        <w:tc>
          <w:tcPr>
            <w:tcW w:w="439" w:type="dxa"/>
            <w:shd w:val="clear" w:color="auto" w:fill="D9D9D9" w:themeFill="background1" w:themeFillShade="D9"/>
            <w:vAlign w:val="center"/>
          </w:tcPr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b/>
                <w:lang w:val="uk-UA"/>
              </w:rPr>
            </w:pPr>
            <w:r w:rsidRPr="00EB7F32">
              <w:rPr>
                <w:rFonts w:eastAsia="@Arial Unicode MS"/>
                <w:b/>
                <w:lang w:val="uk-UA"/>
              </w:rPr>
              <w:t>4</w:t>
            </w:r>
          </w:p>
        </w:tc>
        <w:tc>
          <w:tcPr>
            <w:tcW w:w="2477" w:type="dxa"/>
            <w:shd w:val="clear" w:color="auto" w:fill="99CCFF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Низький (а) (4)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4* (4х1)</w:t>
            </w:r>
          </w:p>
        </w:tc>
        <w:tc>
          <w:tcPr>
            <w:tcW w:w="2742" w:type="dxa"/>
            <w:shd w:val="clear" w:color="auto" w:fill="FFFF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Середній (я) (8)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8* (4х2)</w:t>
            </w:r>
          </w:p>
        </w:tc>
        <w:tc>
          <w:tcPr>
            <w:tcW w:w="2418" w:type="dxa"/>
            <w:shd w:val="clear" w:color="auto" w:fill="FF66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Високий (а) (12)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12* (4х3)</w:t>
            </w:r>
          </w:p>
        </w:tc>
        <w:tc>
          <w:tcPr>
            <w:tcW w:w="2419" w:type="dxa"/>
            <w:shd w:val="clear" w:color="auto" w:fill="FF00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Дуже високий (а) (16)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16* (4х4)</w:t>
            </w:r>
          </w:p>
        </w:tc>
        <w:tc>
          <w:tcPr>
            <w:tcW w:w="2419" w:type="dxa"/>
            <w:shd w:val="clear" w:color="auto" w:fill="FF0000"/>
            <w:vAlign w:val="center"/>
          </w:tcPr>
          <w:p w:rsidR="00BA302B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 w:rsidRPr="00EB7F32">
              <w:rPr>
                <w:rFonts w:eastAsia="@Arial Unicode MS"/>
                <w:lang w:val="uk-UA"/>
              </w:rPr>
              <w:t>Дуже високий (а) (20)</w:t>
            </w:r>
          </w:p>
          <w:p w:rsidR="00BA302B" w:rsidRPr="00EB7F32" w:rsidRDefault="00BA302B" w:rsidP="002E7439">
            <w:pPr>
              <w:spacing w:line="276" w:lineRule="auto"/>
              <w:jc w:val="center"/>
              <w:rPr>
                <w:rFonts w:eastAsia="@Arial Unicode MS"/>
                <w:lang w:val="uk-UA"/>
              </w:rPr>
            </w:pPr>
            <w:r>
              <w:rPr>
                <w:rFonts w:eastAsia="@Arial Unicode MS"/>
                <w:lang w:val="uk-UA"/>
              </w:rPr>
              <w:t>20* (4х5)</w:t>
            </w:r>
          </w:p>
        </w:tc>
      </w:tr>
    </w:tbl>
    <w:p w:rsidR="0090153F" w:rsidRDefault="0090153F" w:rsidP="009015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Матриця оцінки ризиків</w:t>
      </w:r>
    </w:p>
    <w:p w:rsidR="00BA302B" w:rsidRDefault="00BA302B" w:rsidP="00BA302B">
      <w:pPr>
        <w:rPr>
          <w:lang w:val="uk-UA"/>
        </w:rPr>
      </w:pPr>
    </w:p>
    <w:p w:rsidR="002E7439" w:rsidRDefault="002E7439" w:rsidP="00BA302B">
      <w:pPr>
        <w:rPr>
          <w:lang w:val="uk-UA"/>
        </w:rPr>
      </w:pPr>
    </w:p>
    <w:p w:rsidR="00BA302B" w:rsidRDefault="00BA302B" w:rsidP="00BA302B">
      <w:r w:rsidRPr="00BA302B">
        <w:rPr>
          <w:lang w:val="uk-UA"/>
        </w:rPr>
        <w:t>*</w:t>
      </w:r>
      <w:r>
        <w:rPr>
          <w:lang w:val="uk-UA"/>
        </w:rPr>
        <w:t xml:space="preserve"> </w:t>
      </w:r>
      <w:r w:rsidRPr="00BA302B">
        <w:rPr>
          <w:lang w:val="uk-UA"/>
        </w:rPr>
        <w:t xml:space="preserve">- </w:t>
      </w:r>
      <w:r>
        <w:rPr>
          <w:lang w:val="uk-UA"/>
        </w:rPr>
        <w:t>сумарне числове значення;</w:t>
      </w:r>
    </w:p>
    <w:p w:rsidR="00E82789" w:rsidRDefault="00E82789" w:rsidP="00BA302B">
      <w:pPr>
        <w:rPr>
          <w:lang w:val="uk-UA"/>
        </w:rPr>
      </w:pPr>
    </w:p>
    <w:p w:rsidR="002751E2" w:rsidRPr="00E82789" w:rsidRDefault="002751E2" w:rsidP="00BA302B">
      <w:pPr>
        <w:rPr>
          <w:lang w:val="uk-UA"/>
        </w:rPr>
      </w:pPr>
    </w:p>
    <w:sectPr w:rsidR="002751E2" w:rsidRPr="00E82789" w:rsidSect="002751E2">
      <w:pgSz w:w="16838" w:h="11906" w:orient="landscape"/>
      <w:pgMar w:top="1985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64A6"/>
    <w:multiLevelType w:val="hybridMultilevel"/>
    <w:tmpl w:val="D1068A1A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03631"/>
    <w:multiLevelType w:val="hybridMultilevel"/>
    <w:tmpl w:val="E3247EC8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A08C1"/>
    <w:multiLevelType w:val="hybridMultilevel"/>
    <w:tmpl w:val="30860C9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55"/>
    <w:rsid w:val="000D0DD1"/>
    <w:rsid w:val="0013278C"/>
    <w:rsid w:val="002751E2"/>
    <w:rsid w:val="002E7439"/>
    <w:rsid w:val="00312A35"/>
    <w:rsid w:val="00345455"/>
    <w:rsid w:val="003C5A1B"/>
    <w:rsid w:val="004078C6"/>
    <w:rsid w:val="00460913"/>
    <w:rsid w:val="004E77CC"/>
    <w:rsid w:val="00726DE4"/>
    <w:rsid w:val="0077414F"/>
    <w:rsid w:val="007E74BB"/>
    <w:rsid w:val="00837B24"/>
    <w:rsid w:val="008D4D04"/>
    <w:rsid w:val="0090153F"/>
    <w:rsid w:val="00992B83"/>
    <w:rsid w:val="00B81BE6"/>
    <w:rsid w:val="00BA302B"/>
    <w:rsid w:val="00C64B75"/>
    <w:rsid w:val="00CC65BA"/>
    <w:rsid w:val="00CE66B9"/>
    <w:rsid w:val="00D72431"/>
    <w:rsid w:val="00E82789"/>
    <w:rsid w:val="00F15074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E8019-ABC1-4DE8-BE24-FCEBE44B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545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45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30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51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1E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v.naichuk</dc:creator>
  <cp:lastModifiedBy>Rada Golos</cp:lastModifiedBy>
  <cp:revision>2</cp:revision>
  <cp:lastPrinted>2019-01-21T09:30:00Z</cp:lastPrinted>
  <dcterms:created xsi:type="dcterms:W3CDTF">2020-03-22T13:13:00Z</dcterms:created>
  <dcterms:modified xsi:type="dcterms:W3CDTF">2020-03-22T13:13:00Z</dcterms:modified>
</cp:coreProperties>
</file>