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ІНФОРМАЦІЯ</w:t>
      </w:r>
      <w:r w:rsidRPr="00E1690E">
        <w:rPr>
          <w:rFonts w:ascii="Times New Roman" w:hAnsi="Times New Roman"/>
          <w:color w:val="000000"/>
          <w:sz w:val="28"/>
          <w:szCs w:val="28"/>
        </w:rPr>
        <w:br/>
      </w: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про стан виконання  бюджету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Новоукраїнської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міської об'єднаної територіальної громади </w:t>
      </w: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І квартал 2020 року</w:t>
      </w:r>
    </w:p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                       ВИКОНАННЯ ДОХОДІВ</w:t>
      </w:r>
    </w:p>
    <w:p w:rsidR="00413DC1" w:rsidRDefault="00413DC1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E1690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1690E">
        <w:rPr>
          <w:rFonts w:ascii="Times New Roman" w:hAnsi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/>
          <w:color w:val="000000"/>
          <w:sz w:val="28"/>
          <w:szCs w:val="28"/>
        </w:rPr>
        <w:t>І квартал 2020</w:t>
      </w:r>
      <w:r w:rsidRPr="00E1690E">
        <w:rPr>
          <w:rFonts w:ascii="Times New Roman" w:hAnsi="Times New Roman"/>
          <w:color w:val="000000"/>
          <w:sz w:val="28"/>
          <w:szCs w:val="28"/>
        </w:rPr>
        <w:t xml:space="preserve"> року бюджет</w:t>
      </w:r>
      <w:r>
        <w:rPr>
          <w:rFonts w:ascii="Times New Roman" w:hAnsi="Times New Roman"/>
          <w:color w:val="000000"/>
          <w:sz w:val="28"/>
          <w:szCs w:val="28"/>
        </w:rPr>
        <w:t xml:space="preserve"> громади отримав</w:t>
      </w:r>
      <w:r w:rsidRPr="00E1690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доходів (</w:t>
      </w:r>
      <w:r w:rsidRPr="00E1690E">
        <w:rPr>
          <w:rFonts w:ascii="Times New Roman" w:hAnsi="Times New Roman"/>
          <w:color w:val="000000"/>
          <w:sz w:val="28"/>
          <w:szCs w:val="28"/>
        </w:rPr>
        <w:t>враховуючи офіційні трансферти)</w:t>
      </w:r>
      <w:r>
        <w:rPr>
          <w:rFonts w:ascii="Times New Roman" w:hAnsi="Times New Roman"/>
          <w:color w:val="000000"/>
          <w:sz w:val="28"/>
          <w:szCs w:val="28"/>
        </w:rPr>
        <w:t xml:space="preserve"> у сумі 37 289,1</w:t>
      </w:r>
      <w:r w:rsidRPr="00E169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1690E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E1690E">
        <w:rPr>
          <w:rFonts w:ascii="Times New Roman" w:hAnsi="Times New Roman"/>
          <w:color w:val="000000"/>
          <w:sz w:val="28"/>
          <w:szCs w:val="28"/>
        </w:rPr>
        <w:t xml:space="preserve">., </w:t>
      </w:r>
      <w:r>
        <w:rPr>
          <w:rFonts w:ascii="TimesNewRomanPSMT" w:hAnsi="TimesNewRomanPSMT"/>
          <w:color w:val="000000"/>
          <w:sz w:val="28"/>
          <w:szCs w:val="28"/>
        </w:rPr>
        <w:t>або 1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NewRomanPSMT" w:hAnsi="TimesNewRomanPSMT"/>
          <w:color w:val="000000"/>
          <w:sz w:val="28"/>
          <w:szCs w:val="28"/>
        </w:rPr>
        <w:t xml:space="preserve">% від уточненого планового показника – </w:t>
      </w:r>
      <w:r>
        <w:rPr>
          <w:rFonts w:ascii="Times New Roman" w:hAnsi="Times New Roman"/>
          <w:color w:val="000000"/>
          <w:sz w:val="28"/>
          <w:szCs w:val="28"/>
        </w:rPr>
        <w:t>32 700,8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., з них до: </w:t>
      </w:r>
    </w:p>
    <w:p w:rsidR="00413DC1" w:rsidRDefault="00413DC1" w:rsidP="00E1690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- загального фонду – </w:t>
      </w:r>
      <w:r>
        <w:rPr>
          <w:rFonts w:ascii="Times New Roman" w:hAnsi="Times New Roman"/>
          <w:color w:val="000000"/>
          <w:sz w:val="28"/>
          <w:szCs w:val="28"/>
        </w:rPr>
        <w:t>34 569,3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 (10</w:t>
      </w:r>
      <w:r>
        <w:rPr>
          <w:rFonts w:ascii="Times New Roman" w:hAnsi="Times New Roman"/>
          <w:color w:val="000000"/>
          <w:sz w:val="28"/>
          <w:szCs w:val="28"/>
        </w:rPr>
        <w:t>8,</w:t>
      </w:r>
      <w:r>
        <w:rPr>
          <w:rFonts w:ascii="TimesNewRomanPSMT" w:hAnsi="TimesNewRomanPSMT"/>
          <w:color w:val="000000"/>
          <w:sz w:val="28"/>
          <w:szCs w:val="28"/>
        </w:rPr>
        <w:t xml:space="preserve">9% виконання), що більше на </w:t>
      </w:r>
      <w:r>
        <w:rPr>
          <w:rFonts w:ascii="Times New Roman" w:hAnsi="Times New Roman"/>
          <w:color w:val="000000"/>
          <w:sz w:val="28"/>
          <w:szCs w:val="28"/>
        </w:rPr>
        <w:t>2 821,0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від уточненого планового обсягу </w:t>
      </w:r>
      <w:r>
        <w:rPr>
          <w:rFonts w:ascii="Times New Roman" w:hAnsi="Times New Roman"/>
          <w:color w:val="000000"/>
          <w:sz w:val="28"/>
          <w:szCs w:val="28"/>
        </w:rPr>
        <w:t>31 748,2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.;</w:t>
      </w:r>
    </w:p>
    <w:p w:rsidR="00413DC1" w:rsidRDefault="00413DC1" w:rsidP="00E1690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- спеціального фонду – </w:t>
      </w:r>
      <w:r>
        <w:rPr>
          <w:rFonts w:ascii="Times New Roman" w:hAnsi="Times New Roman"/>
          <w:color w:val="000000"/>
          <w:sz w:val="28"/>
          <w:szCs w:val="28"/>
        </w:rPr>
        <w:t>2 719,8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 (</w:t>
      </w:r>
      <w:r>
        <w:rPr>
          <w:rFonts w:ascii="Times New Roman" w:hAnsi="Times New Roman"/>
          <w:color w:val="000000"/>
          <w:sz w:val="28"/>
          <w:szCs w:val="28"/>
        </w:rPr>
        <w:t>285,5</w:t>
      </w:r>
      <w:r>
        <w:rPr>
          <w:rFonts w:ascii="TimesNewRomanPSMT" w:hAnsi="TimesNewRomanPSMT"/>
          <w:color w:val="000000"/>
          <w:sz w:val="28"/>
          <w:szCs w:val="28"/>
        </w:rPr>
        <w:t xml:space="preserve">% виконання), що на         </w:t>
      </w:r>
      <w:r>
        <w:rPr>
          <w:rFonts w:ascii="Times New Roman" w:hAnsi="Times New Roman"/>
          <w:color w:val="000000"/>
          <w:sz w:val="28"/>
          <w:szCs w:val="28"/>
        </w:rPr>
        <w:t>1 767,2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більше від уточненого планового обсягу – </w:t>
      </w:r>
      <w:r>
        <w:rPr>
          <w:rFonts w:ascii="Times New Roman" w:hAnsi="Times New Roman"/>
          <w:color w:val="000000"/>
          <w:sz w:val="28"/>
          <w:szCs w:val="28"/>
        </w:rPr>
        <w:t>952,6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:rsidR="00413DC1" w:rsidRPr="007B543D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Динаміку надходжень загального та спеціального фондів бюджету ОТГ (</w:t>
      </w:r>
      <w:r w:rsidRPr="007106AB">
        <w:rPr>
          <w:rFonts w:ascii="TimesNewRomanPSMT" w:hAnsi="TimesNewRomanPSMT"/>
          <w:color w:val="000000"/>
          <w:sz w:val="28"/>
          <w:szCs w:val="28"/>
        </w:rPr>
        <w:t>включаючи офіційні трансферти</w:t>
      </w:r>
      <w:r>
        <w:rPr>
          <w:rFonts w:ascii="TimesNewRomanPSMT" w:hAnsi="TimesNewRomanPSMT"/>
          <w:color w:val="000000"/>
          <w:sz w:val="28"/>
          <w:szCs w:val="28"/>
        </w:rPr>
        <w:t xml:space="preserve">) за </w:t>
      </w:r>
      <w:r>
        <w:rPr>
          <w:rFonts w:ascii="Times New Roman" w:hAnsi="Times New Roman"/>
          <w:color w:val="000000"/>
          <w:sz w:val="28"/>
          <w:szCs w:val="28"/>
        </w:rPr>
        <w:t>І квартал</w:t>
      </w:r>
      <w:r>
        <w:rPr>
          <w:rFonts w:ascii="TimesNewRomanPSMT" w:hAnsi="TimesNewRomanPSMT"/>
          <w:color w:val="000000"/>
          <w:sz w:val="28"/>
          <w:szCs w:val="28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 та за </w:t>
      </w:r>
      <w:r>
        <w:rPr>
          <w:rFonts w:ascii="Times New Roman" w:hAnsi="Times New Roman"/>
          <w:color w:val="000000"/>
          <w:sz w:val="28"/>
          <w:szCs w:val="28"/>
        </w:rPr>
        <w:t xml:space="preserve">І квартал </w:t>
      </w:r>
      <w:r>
        <w:rPr>
          <w:rFonts w:ascii="TimesNewRomanPSMT" w:hAnsi="TimesNewRomanPSMT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року, </w:t>
      </w:r>
      <w:r w:rsidRPr="007B543D">
        <w:rPr>
          <w:rFonts w:ascii="TimesNewRomanPSMT" w:hAnsi="TimesNewRomanPSMT"/>
          <w:sz w:val="28"/>
          <w:szCs w:val="28"/>
        </w:rPr>
        <w:t>наведено на рис.1</w:t>
      </w:r>
    </w:p>
    <w:p w:rsidR="00413DC1" w:rsidRPr="00F943D5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6B6C19" w:rsidP="004B6930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noProof/>
          <w:lang w:val="ru-RU"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198.45pt;margin-top:162.45pt;width:109.1pt;height:65.95pt;z-index:251657216">
            <v:textbox style="mso-next-textbox:#_x0000_s1026">
              <w:txbxContent>
                <w:p w:rsidR="00413DC1" w:rsidRPr="004B6930" w:rsidRDefault="00413DC1" w:rsidP="004B6930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</w:pPr>
                  <w:r w:rsidRPr="004B6930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 xml:space="preserve">+ 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1 886,5</w:t>
                  </w:r>
                  <w:r w:rsidRPr="004B6930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6930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тис.грн</w:t>
                  </w:r>
                  <w:proofErr w:type="spellEnd"/>
                  <w:r w:rsidRPr="004B6930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NewRomanPS-BoldMT" w:hAnsi="TimesNewRomanPS-BoldMT"/>
          <w:b/>
          <w:bCs/>
          <w:color w:val="0000FF"/>
          <w:sz w:val="24"/>
          <w:szCs w:val="24"/>
        </w:rPr>
      </w:r>
      <w:r>
        <w:rPr>
          <w:rFonts w:ascii="TimesNewRomanPS-BoldMT" w:hAnsi="TimesNewRomanPS-BoldMT"/>
          <w:b/>
          <w:bCs/>
          <w:color w:val="0000FF"/>
          <w:sz w:val="24"/>
          <w:szCs w:val="24"/>
        </w:rPr>
        <w:pict>
          <v:group id="_x0000_s1027" editas="orgchart" style="width:495pt;height:3in;mso-position-horizontal-relative:char;mso-position-vertical-relative:line" coordorigin="1484,6805" coordsize="5040,2880">
            <o:lock v:ext="edit" aspectratio="t"/>
            <o:diagram v:ext="edit" dgmstyle="0" dgmscalex="128730" dgmscaley="98304" dgmfontsize="18" constrainbounds="0,0,0,0" autolayout="f">
              <o:relationtable v:ext="edit">
                <o:rel v:ext="edit" idsrc="#_s1033" iddest="#_s1033"/>
                <o:rel v:ext="edit" idsrc="#_s1034" iddest="#_s1033" idcntr="#_s1032"/>
                <o:rel v:ext="edit" idsrc="#_s1035" iddest="#_s1033" idcntr="#_s1031"/>
                <o:rel v:ext="edit" idsrc="#_s1037" iddest="#_s1033" idcntr="#_s1029"/>
                <o:rel v:ext="edit" idsrc="#_s1036" iddest="#_s1033" idcntr="#_s1030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84;top:6805;width:5040;height:288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29" o:spid="_x0000_s1029" type="#_x0000_t33" style="position:absolute;left:3644;top:7525;width:312;height:1800;flip:y" o:connectortype="elbow" adj="-227513,76064,-227513" strokeweight="2.25pt"/>
            <v:shape id="_s1030" o:spid="_x0000_s1030" type="#_x0000_t33" style="position:absolute;left:3956;top:7525;width:408;height:1800;rotation:180" o:connectortype="elbow" adj="-212554,-76064,-212554" strokeweight="2.25pt"/>
            <v:shape id="_s1031" o:spid="_x0000_s1031" type="#_x0000_t33" style="position:absolute;left:3956;top:7525;width:394;height:720;rotation:180" o:connectortype="elbow" adj="-200244,-157760,-200244" strokeweight="2.25pt"/>
            <v:shape id="_s1032" o:spid="_x0000_s1032" type="#_x0000_t33" style="position:absolute;left:3644;top:7525;width:312;height:720;flip:y" o:connectortype="elbow" adj="-227513,157760,-227513" strokeweight="2.25pt"/>
            <v:roundrect id="_s1033" o:spid="_x0000_s1033" style="position:absolute;left:1959;top:6805;width:3994;height:720;v-text-anchor:middle" arcsize="10923f" o:dgmlayout="1" o:dgmnodekind="1" o:dgmlayoutmru="1" fillcolor="#bbe0e3">
              <v:textbox style="mso-next-textbox:#_s1033" inset="0,0,0,0">
                <w:txbxContent>
                  <w:p w:rsidR="00413DC1" w:rsidRPr="004575B4" w:rsidRDefault="00413DC1" w:rsidP="004B6930">
                    <w:pPr>
                      <w:jc w:val="center"/>
                      <w:rPr>
                        <w:b/>
                        <w:color w:val="0000FF"/>
                        <w:sz w:val="30"/>
                        <w:szCs w:val="30"/>
                      </w:rPr>
                    </w:pPr>
                    <w:r w:rsidRPr="004575B4">
                      <w:rPr>
                        <w:b/>
                        <w:color w:val="0000FF"/>
                        <w:sz w:val="30"/>
                        <w:szCs w:val="30"/>
                      </w:rPr>
                      <w:t>Динаміка надходжень загального та спеціального фондів  за І квартал 2019 року та за І квартал 202</w:t>
                    </w:r>
                    <w:r>
                      <w:rPr>
                        <w:b/>
                        <w:color w:val="0000FF"/>
                        <w:sz w:val="30"/>
                        <w:szCs w:val="30"/>
                      </w:rPr>
                      <w:t>0</w:t>
                    </w:r>
                    <w:r w:rsidRPr="004575B4">
                      <w:rPr>
                        <w:b/>
                        <w:color w:val="0000FF"/>
                        <w:sz w:val="30"/>
                        <w:szCs w:val="30"/>
                      </w:rPr>
                      <w:t xml:space="preserve"> року</w:t>
                    </w:r>
                  </w:p>
                </w:txbxContent>
              </v:textbox>
            </v:roundrect>
            <v:roundrect id="_s1034" o:spid="_x0000_s1034" style="position:absolute;left:1484;top:7885;width:2160;height:720;v-text-anchor:middle" arcsize="10923f" o:dgmlayout="0" o:dgmnodekind="0" fillcolor="#bbe0e3">
              <v:textbox style="mso-next-textbox:#_s1034" inset="0,0,0,0">
                <w:txbxContent>
                  <w:p w:rsidR="00413DC1" w:rsidRDefault="00413DC1" w:rsidP="004B6930">
                    <w:pPr>
                      <w:jc w:val="center"/>
                      <w:rPr>
                        <w:b/>
                        <w:color w:val="0000FF"/>
                        <w:sz w:val="28"/>
                        <w:szCs w:val="28"/>
                      </w:rPr>
                    </w:pPr>
                    <w:r w:rsidRPr="00C16C73">
                      <w:rPr>
                        <w:b/>
                        <w:color w:val="0000FF"/>
                        <w:sz w:val="28"/>
                        <w:szCs w:val="28"/>
                      </w:rPr>
                      <w:t>Загальний фонд за І квартал 2019 року</w:t>
                    </w:r>
                    <w:r>
                      <w:rPr>
                        <w:b/>
                        <w:color w:val="0000FF"/>
                        <w:sz w:val="28"/>
                        <w:szCs w:val="28"/>
                      </w:rPr>
                      <w:t xml:space="preserve">  - 31 260,2 </w:t>
                    </w:r>
                    <w:proofErr w:type="spellStart"/>
                    <w:r>
                      <w:rPr>
                        <w:b/>
                        <w:color w:val="0000FF"/>
                        <w:sz w:val="28"/>
                        <w:szCs w:val="28"/>
                      </w:rPr>
                      <w:t>тис.грн</w:t>
                    </w:r>
                    <w:proofErr w:type="spellEnd"/>
                    <w:r>
                      <w:rPr>
                        <w:b/>
                        <w:color w:val="0000FF"/>
                        <w:sz w:val="28"/>
                        <w:szCs w:val="28"/>
                      </w:rPr>
                      <w:t>.</w:t>
                    </w:r>
                  </w:p>
                  <w:p w:rsidR="00413DC1" w:rsidRPr="00C16C73" w:rsidRDefault="00413DC1" w:rsidP="004B6930">
                    <w:pPr>
                      <w:jc w:val="center"/>
                      <w:rPr>
                        <w:b/>
                        <w:color w:val="0000FF"/>
                        <w:sz w:val="28"/>
                        <w:szCs w:val="28"/>
                      </w:rPr>
                    </w:pPr>
                    <w:r w:rsidRPr="00C16C73">
                      <w:rPr>
                        <w:b/>
                        <w:color w:val="0000F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oundrect>
            <v:roundrect id="_s1035" o:spid="_x0000_s1035" style="position:absolute;left:4350;top:7885;width:2160;height:720;v-text-anchor:middle" arcsize="10923f" o:dgmlayout="0" o:dgmnodekind="0" fillcolor="#bbe0e3">
              <v:textbox style="mso-next-textbox:#_s1035" inset="0,0,0,0">
                <w:txbxContent>
                  <w:p w:rsidR="00413DC1" w:rsidRDefault="00413DC1" w:rsidP="004B6930">
                    <w:pPr>
                      <w:jc w:val="center"/>
                      <w:rPr>
                        <w:b/>
                        <w:color w:val="0000FF"/>
                        <w:sz w:val="28"/>
                        <w:szCs w:val="28"/>
                      </w:rPr>
                    </w:pPr>
                    <w:r w:rsidRPr="00C16C73">
                      <w:rPr>
                        <w:b/>
                        <w:color w:val="0000FF"/>
                        <w:sz w:val="28"/>
                        <w:szCs w:val="28"/>
                      </w:rPr>
                      <w:t>Загальний фонд за І квартал 2</w:t>
                    </w:r>
                    <w:r>
                      <w:rPr>
                        <w:b/>
                        <w:color w:val="0000FF"/>
                        <w:sz w:val="28"/>
                        <w:szCs w:val="28"/>
                      </w:rPr>
                      <w:t>020</w:t>
                    </w:r>
                    <w:r w:rsidRPr="00C16C73">
                      <w:rPr>
                        <w:b/>
                        <w:color w:val="0000FF"/>
                        <w:sz w:val="28"/>
                        <w:szCs w:val="28"/>
                      </w:rPr>
                      <w:t xml:space="preserve"> року</w:t>
                    </w:r>
                    <w:r>
                      <w:rPr>
                        <w:b/>
                        <w:color w:val="0000FF"/>
                        <w:sz w:val="28"/>
                        <w:szCs w:val="28"/>
                      </w:rPr>
                      <w:t xml:space="preserve">  - 34 569,3 </w:t>
                    </w:r>
                    <w:proofErr w:type="spellStart"/>
                    <w:r>
                      <w:rPr>
                        <w:b/>
                        <w:color w:val="0000FF"/>
                        <w:sz w:val="28"/>
                        <w:szCs w:val="28"/>
                      </w:rPr>
                      <w:t>тис.грн</w:t>
                    </w:r>
                    <w:proofErr w:type="spellEnd"/>
                    <w:r>
                      <w:rPr>
                        <w:b/>
                        <w:color w:val="0000FF"/>
                        <w:sz w:val="28"/>
                        <w:szCs w:val="28"/>
                      </w:rPr>
                      <w:t>.</w:t>
                    </w:r>
                  </w:p>
                  <w:p w:rsidR="00413DC1" w:rsidRPr="00C16C73" w:rsidRDefault="00413DC1" w:rsidP="004B6930"/>
                </w:txbxContent>
              </v:textbox>
            </v:roundrect>
            <v:roundrect id="_s1036" o:spid="_x0000_s1036" style="position:absolute;left:4364;top:8965;width:2160;height:720;v-text-anchor:middle" arcsize="10923f" o:dgmlayout="0" o:dgmnodekind="0" fillcolor="#bbe0e3">
              <v:textbox style="mso-next-textbox:#_s1036" inset="0,0,0,0">
                <w:txbxContent>
                  <w:p w:rsidR="00413DC1" w:rsidRPr="00C16C73" w:rsidRDefault="00413DC1" w:rsidP="004B6930">
                    <w:pPr>
                      <w:jc w:val="center"/>
                      <w:rPr>
                        <w:b/>
                        <w:color w:val="0000FF"/>
                        <w:sz w:val="28"/>
                        <w:szCs w:val="28"/>
                      </w:rPr>
                    </w:pPr>
                    <w:r w:rsidRPr="00C16C73">
                      <w:rPr>
                        <w:b/>
                        <w:color w:val="0000FF"/>
                        <w:sz w:val="28"/>
                        <w:szCs w:val="28"/>
                      </w:rPr>
                      <w:t xml:space="preserve">Спеціальний фонд за І квартал </w:t>
                    </w:r>
                    <w:r>
                      <w:rPr>
                        <w:b/>
                        <w:color w:val="0000FF"/>
                        <w:sz w:val="28"/>
                        <w:szCs w:val="28"/>
                      </w:rPr>
                      <w:t>2020</w:t>
                    </w:r>
                    <w:r w:rsidRPr="00C16C73">
                      <w:rPr>
                        <w:b/>
                        <w:color w:val="0000FF"/>
                        <w:sz w:val="28"/>
                        <w:szCs w:val="28"/>
                      </w:rPr>
                      <w:t xml:space="preserve"> року -</w:t>
                    </w:r>
                    <w:r>
                      <w:rPr>
                        <w:b/>
                        <w:color w:val="0000FF"/>
                        <w:sz w:val="28"/>
                        <w:szCs w:val="28"/>
                      </w:rPr>
                      <w:t xml:space="preserve">2 719,8 </w:t>
                    </w:r>
                    <w:proofErr w:type="spellStart"/>
                    <w:r>
                      <w:rPr>
                        <w:b/>
                        <w:color w:val="0000FF"/>
                        <w:sz w:val="28"/>
                        <w:szCs w:val="28"/>
                      </w:rPr>
                      <w:t>тис.грн</w:t>
                    </w:r>
                    <w:proofErr w:type="spellEnd"/>
                    <w:r>
                      <w:rPr>
                        <w:b/>
                        <w:color w:val="0000FF"/>
                        <w:sz w:val="28"/>
                        <w:szCs w:val="28"/>
                      </w:rPr>
                      <w:t>.</w:t>
                    </w:r>
                  </w:p>
                  <w:p w:rsidR="00413DC1" w:rsidRPr="00C16C73" w:rsidRDefault="00413DC1" w:rsidP="004B6930"/>
                </w:txbxContent>
              </v:textbox>
            </v:roundrect>
            <v:roundrect id="_s1037" o:spid="_x0000_s1037" style="position:absolute;left:1484;top:8965;width:2160;height:720;v-text-anchor:middle" arcsize="10923f" o:dgmlayout="0" o:dgmnodekind="0" fillcolor="#bbe0e3">
              <v:textbox style="mso-next-textbox:#_s1037" inset="0,0,0,0">
                <w:txbxContent>
                  <w:p w:rsidR="00413DC1" w:rsidRPr="00C16C73" w:rsidRDefault="00413DC1" w:rsidP="004B6930">
                    <w:pPr>
                      <w:jc w:val="center"/>
                      <w:rPr>
                        <w:b/>
                        <w:color w:val="0000FF"/>
                        <w:sz w:val="28"/>
                        <w:szCs w:val="28"/>
                      </w:rPr>
                    </w:pPr>
                    <w:r w:rsidRPr="00C16C73">
                      <w:rPr>
                        <w:b/>
                        <w:color w:val="0000FF"/>
                        <w:sz w:val="28"/>
                        <w:szCs w:val="28"/>
                      </w:rPr>
                      <w:t>Спеціальний фонд за І квартал 201</w:t>
                    </w:r>
                    <w:r>
                      <w:rPr>
                        <w:b/>
                        <w:color w:val="0000FF"/>
                        <w:sz w:val="28"/>
                        <w:szCs w:val="28"/>
                      </w:rPr>
                      <w:t>9</w:t>
                    </w:r>
                    <w:r w:rsidRPr="00C16C73">
                      <w:rPr>
                        <w:b/>
                        <w:color w:val="0000FF"/>
                        <w:sz w:val="28"/>
                        <w:szCs w:val="28"/>
                      </w:rPr>
                      <w:t xml:space="preserve"> року -</w:t>
                    </w:r>
                    <w:r>
                      <w:rPr>
                        <w:b/>
                        <w:color w:val="0000FF"/>
                        <w:sz w:val="28"/>
                        <w:szCs w:val="28"/>
                      </w:rPr>
                      <w:t>83</w:t>
                    </w:r>
                    <w:r w:rsidRPr="00C16C73">
                      <w:rPr>
                        <w:b/>
                        <w:color w:val="0000FF"/>
                        <w:sz w:val="28"/>
                        <w:szCs w:val="28"/>
                      </w:rPr>
                      <w:t>3,3</w:t>
                    </w:r>
                    <w:r>
                      <w:rPr>
                        <w:b/>
                        <w:color w:val="0000FF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00FF"/>
                        <w:sz w:val="28"/>
                        <w:szCs w:val="28"/>
                      </w:rPr>
                      <w:t>тис.грн</w:t>
                    </w:r>
                    <w:proofErr w:type="spellEnd"/>
                    <w:r>
                      <w:rPr>
                        <w:b/>
                        <w:color w:val="0000FF"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roundrect>
            <v:shape id="_x0000_s1038" type="#_x0000_t13" style="position:absolute;left:3500;top:7885;width:989;height:960">
              <v:textbox style="mso-next-textbox:#_x0000_s1038">
                <w:txbxContent>
                  <w:p w:rsidR="00413DC1" w:rsidRPr="004B6930" w:rsidRDefault="00413DC1" w:rsidP="004B6930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color w:val="FF0000"/>
                        <w:sz w:val="28"/>
                        <w:szCs w:val="28"/>
                      </w:rPr>
                    </w:pPr>
                    <w:r w:rsidRPr="004B6930">
                      <w:rPr>
                        <w:rFonts w:ascii="Times New Roman" w:hAnsi="Times New Roman"/>
                        <w:b/>
                        <w:color w:val="FF0000"/>
                        <w:sz w:val="28"/>
                        <w:szCs w:val="28"/>
                      </w:rPr>
                      <w:t xml:space="preserve">+ 3 309,1 </w:t>
                    </w:r>
                    <w:proofErr w:type="spellStart"/>
                    <w:r w:rsidRPr="004B6930">
                      <w:rPr>
                        <w:rFonts w:ascii="Times New Roman" w:hAnsi="Times New Roman"/>
                        <w:b/>
                        <w:color w:val="FF0000"/>
                        <w:sz w:val="28"/>
                        <w:szCs w:val="28"/>
                      </w:rPr>
                      <w:t>тис.грн</w:t>
                    </w:r>
                    <w:proofErr w:type="spellEnd"/>
                    <w:r w:rsidRPr="004B6930">
                      <w:rPr>
                        <w:rFonts w:ascii="Times New Roman" w:hAnsi="Times New Roman"/>
                        <w:b/>
                        <w:color w:val="FF0000"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13DC1" w:rsidRDefault="00413DC1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В звітному році приріст надходжень бюдже</w:t>
      </w:r>
      <w:r w:rsidR="002E54DA">
        <w:rPr>
          <w:rFonts w:ascii="TimesNewRomanPSMT" w:hAnsi="TimesNewRomanPSMT"/>
          <w:color w:val="000000"/>
          <w:sz w:val="28"/>
          <w:szCs w:val="28"/>
        </w:rPr>
        <w:t xml:space="preserve">ту громади у порівнянні з </w:t>
      </w:r>
      <w:r>
        <w:rPr>
          <w:rFonts w:ascii="TimesNewRomanPSMT" w:hAnsi="TimesNewRomanPSMT"/>
          <w:color w:val="000000"/>
          <w:sz w:val="28"/>
          <w:szCs w:val="28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роком склав </w:t>
      </w:r>
      <w:r>
        <w:rPr>
          <w:rFonts w:ascii="Times New Roman" w:hAnsi="Times New Roman"/>
          <w:color w:val="000000"/>
          <w:sz w:val="28"/>
          <w:szCs w:val="28"/>
        </w:rPr>
        <w:t>5195,6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 при темпі росту 116,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NewRomanPSMT" w:hAnsi="TimesNewRomanPSMT"/>
          <w:color w:val="000000"/>
          <w:sz w:val="28"/>
          <w:szCs w:val="28"/>
        </w:rPr>
        <w:t xml:space="preserve">%.  Доходи загального фонду за </w:t>
      </w:r>
      <w:r>
        <w:rPr>
          <w:rFonts w:ascii="Times New Roman" w:hAnsi="Times New Roman"/>
          <w:color w:val="000000"/>
          <w:sz w:val="28"/>
          <w:szCs w:val="28"/>
        </w:rPr>
        <w:t>І квартал 2020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 зросли на </w:t>
      </w:r>
      <w:r>
        <w:rPr>
          <w:rFonts w:ascii="Times New Roman" w:hAnsi="Times New Roman"/>
          <w:color w:val="000000"/>
          <w:sz w:val="28"/>
          <w:szCs w:val="28"/>
        </w:rPr>
        <w:t>3309,1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або </w:t>
      </w:r>
      <w:r>
        <w:rPr>
          <w:rFonts w:ascii="Times New Roman" w:hAnsi="Times New Roman"/>
          <w:color w:val="000000"/>
          <w:sz w:val="28"/>
          <w:szCs w:val="28"/>
        </w:rPr>
        <w:t>110,6</w:t>
      </w:r>
      <w:r>
        <w:rPr>
          <w:rFonts w:ascii="TimesNewRomanPSMT" w:hAnsi="TimesNewRomanPSMT"/>
          <w:color w:val="000000"/>
          <w:sz w:val="28"/>
          <w:szCs w:val="28"/>
        </w:rPr>
        <w:t xml:space="preserve"> % у порівнянні з відповідним періодом 20</w:t>
      </w:r>
      <w:r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413DC1" w:rsidRDefault="00413DC1" w:rsidP="00CB11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Доходи спеціального фонду за </w:t>
      </w:r>
      <w:r>
        <w:rPr>
          <w:rFonts w:ascii="Times New Roman" w:hAnsi="Times New Roman"/>
          <w:color w:val="000000"/>
          <w:sz w:val="28"/>
          <w:szCs w:val="28"/>
        </w:rPr>
        <w:t>І квартал 2020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 збільшились на         </w:t>
      </w:r>
      <w:r>
        <w:rPr>
          <w:rFonts w:ascii="Times New Roman" w:hAnsi="Times New Roman"/>
          <w:color w:val="000000"/>
          <w:sz w:val="28"/>
          <w:szCs w:val="28"/>
        </w:rPr>
        <w:t>1886,5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., або на </w:t>
      </w:r>
      <w:r>
        <w:rPr>
          <w:rFonts w:ascii="Times New Roman" w:hAnsi="Times New Roman"/>
          <w:color w:val="000000"/>
          <w:sz w:val="28"/>
          <w:szCs w:val="28"/>
        </w:rPr>
        <w:t>326,4</w:t>
      </w:r>
      <w:r>
        <w:rPr>
          <w:rFonts w:ascii="TimesNewRomanPSMT" w:hAnsi="TimesNewRomanPSMT"/>
          <w:color w:val="000000"/>
          <w:sz w:val="28"/>
          <w:szCs w:val="28"/>
        </w:rPr>
        <w:t>% у порівнянні з відповідним періодом 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 за рахунок збільшення власних надходжень бюджетних установ.</w:t>
      </w:r>
    </w:p>
    <w:p w:rsidR="00413DC1" w:rsidRDefault="00413DC1" w:rsidP="00CB11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За січень-</w:t>
      </w:r>
      <w:r>
        <w:rPr>
          <w:rFonts w:ascii="Times New Roman" w:hAnsi="Times New Roman"/>
          <w:color w:val="000000"/>
          <w:sz w:val="28"/>
          <w:szCs w:val="28"/>
        </w:rPr>
        <w:t>березень</w:t>
      </w:r>
      <w:r>
        <w:rPr>
          <w:rFonts w:ascii="TimesNewRomanPSMT" w:hAnsi="TimesNewRomanPSMT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 дохідну частину бюджету громади за питомою вагою склали:</w:t>
      </w:r>
    </w:p>
    <w:p w:rsidR="00413DC1" w:rsidRDefault="00413DC1" w:rsidP="00CB11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- 6</w:t>
      </w:r>
      <w:r>
        <w:rPr>
          <w:rFonts w:ascii="Times New Roman" w:hAnsi="Times New Roman"/>
          <w:color w:val="000000"/>
          <w:sz w:val="28"/>
          <w:szCs w:val="28"/>
        </w:rPr>
        <w:t xml:space="preserve">4,9 </w:t>
      </w:r>
      <w:r w:rsidRPr="00057B28">
        <w:rPr>
          <w:rFonts w:ascii="TimesNewRomanPSMT" w:hAnsi="TimesNewRomanPSMT"/>
          <w:sz w:val="28"/>
          <w:szCs w:val="28"/>
        </w:rPr>
        <w:t>% - податки</w:t>
      </w:r>
      <w:r>
        <w:rPr>
          <w:rFonts w:ascii="TimesNewRomanPSMT" w:hAnsi="TimesNewRomanPSMT"/>
          <w:color w:val="000000"/>
          <w:sz w:val="28"/>
          <w:szCs w:val="28"/>
        </w:rPr>
        <w:t xml:space="preserve">, збори та інші платежі в обсязі </w:t>
      </w:r>
      <w:r>
        <w:rPr>
          <w:rFonts w:ascii="Times New Roman" w:hAnsi="Times New Roman"/>
          <w:color w:val="000000"/>
          <w:sz w:val="28"/>
          <w:szCs w:val="28"/>
        </w:rPr>
        <w:t>24218,1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;</w:t>
      </w:r>
    </w:p>
    <w:p w:rsidR="00413DC1" w:rsidRDefault="00413DC1" w:rsidP="00CB11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- 3</w:t>
      </w:r>
      <w:r>
        <w:rPr>
          <w:rFonts w:ascii="Times New Roman" w:hAnsi="Times New Roman"/>
          <w:color w:val="000000"/>
          <w:sz w:val="28"/>
          <w:szCs w:val="28"/>
        </w:rPr>
        <w:t>5,1</w:t>
      </w:r>
      <w:r>
        <w:rPr>
          <w:rFonts w:ascii="TimesNewRomanPSMT" w:hAnsi="TimesNewRomanPSMT"/>
          <w:color w:val="000000"/>
          <w:sz w:val="28"/>
          <w:szCs w:val="28"/>
        </w:rPr>
        <w:t xml:space="preserve"> % - офіційні трансферти у сумі </w:t>
      </w:r>
      <w:r>
        <w:rPr>
          <w:rFonts w:ascii="Times New Roman" w:hAnsi="Times New Roman"/>
          <w:color w:val="000000"/>
          <w:sz w:val="28"/>
          <w:szCs w:val="28"/>
        </w:rPr>
        <w:t>13071,0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413DC1" w:rsidRDefault="00413DC1" w:rsidP="00CB11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413DC1" w:rsidRDefault="00413DC1" w:rsidP="00CB11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Структурну динаміку дохідної частини  бюджету за </w:t>
      </w:r>
      <w:r>
        <w:rPr>
          <w:rFonts w:ascii="Times New Roman" w:hAnsi="Times New Roman"/>
          <w:color w:val="000000"/>
          <w:sz w:val="28"/>
          <w:szCs w:val="28"/>
        </w:rPr>
        <w:t xml:space="preserve">І квартал </w:t>
      </w:r>
      <w:r>
        <w:rPr>
          <w:rFonts w:ascii="TimesNewRomanPSMT" w:hAnsi="TimesNewRomanPSMT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 та відповідний період 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роки </w:t>
      </w:r>
      <w:r w:rsidRPr="00AE4D72">
        <w:rPr>
          <w:rFonts w:ascii="TimesNewRomanPSMT" w:hAnsi="TimesNewRomanPSMT"/>
          <w:color w:val="000000"/>
          <w:sz w:val="28"/>
          <w:szCs w:val="28"/>
        </w:rPr>
        <w:t>наведено у рис.2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413DC1" w:rsidRDefault="00413DC1" w:rsidP="000544D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13DC1" w:rsidRDefault="0074071B" w:rsidP="000151F3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noProof/>
          <w:color w:val="000000"/>
          <w:sz w:val="28"/>
          <w:szCs w:val="28"/>
          <w:lang w:eastAsia="uk-UA"/>
        </w:rPr>
        <w:lastRenderedPageBreak/>
        <w:drawing>
          <wp:inline distT="0" distB="0" distL="0" distR="0">
            <wp:extent cx="5772150" cy="5553075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13DC1" w:rsidRDefault="00413DC1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74071B" w:rsidRDefault="0074071B" w:rsidP="009C1132">
      <w:pPr>
        <w:spacing w:after="0" w:line="240" w:lineRule="auto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413DC1" w:rsidRDefault="00413DC1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За підсумками 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NewRomanPSMT" w:hAnsi="TimesNewRomanPSMT"/>
          <w:color w:val="000000"/>
          <w:sz w:val="28"/>
          <w:szCs w:val="28"/>
        </w:rPr>
        <w:t xml:space="preserve"> місяців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 до бюджету зараховано </w:t>
      </w:r>
      <w:r>
        <w:rPr>
          <w:rFonts w:ascii="Times New Roman" w:hAnsi="Times New Roman"/>
          <w:color w:val="000000"/>
          <w:sz w:val="28"/>
          <w:szCs w:val="28"/>
        </w:rPr>
        <w:t>24218,1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податків, зборів та інших обов’язкових платежів або </w:t>
      </w:r>
      <w:r>
        <w:rPr>
          <w:rFonts w:ascii="Times New Roman" w:hAnsi="Times New Roman"/>
          <w:color w:val="000000"/>
          <w:sz w:val="28"/>
          <w:szCs w:val="28"/>
        </w:rPr>
        <w:t>123,7</w:t>
      </w:r>
      <w:r>
        <w:rPr>
          <w:rFonts w:ascii="TimesNewRomanPSMT" w:hAnsi="TimesNewRomanPSMT"/>
          <w:color w:val="000000"/>
          <w:sz w:val="28"/>
          <w:szCs w:val="28"/>
        </w:rPr>
        <w:t xml:space="preserve">% уточненого планового показника </w:t>
      </w:r>
      <w:r>
        <w:rPr>
          <w:rFonts w:ascii="Times New Roman" w:hAnsi="Times New Roman"/>
          <w:color w:val="000000"/>
          <w:sz w:val="28"/>
          <w:szCs w:val="28"/>
        </w:rPr>
        <w:t>19579,4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., з них:</w:t>
      </w:r>
    </w:p>
    <w:p w:rsidR="00413DC1" w:rsidRDefault="00413DC1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- до загального фонду – </w:t>
      </w:r>
      <w:r>
        <w:rPr>
          <w:rFonts w:ascii="Times New Roman" w:hAnsi="Times New Roman"/>
          <w:color w:val="000000"/>
          <w:sz w:val="28"/>
          <w:szCs w:val="28"/>
        </w:rPr>
        <w:t>21498,3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 (1</w:t>
      </w:r>
      <w:r>
        <w:rPr>
          <w:rFonts w:ascii="Times New Roman" w:hAnsi="Times New Roman"/>
          <w:color w:val="000000"/>
          <w:sz w:val="28"/>
          <w:szCs w:val="28"/>
        </w:rPr>
        <w:t>15,4</w:t>
      </w:r>
      <w:r>
        <w:rPr>
          <w:rFonts w:ascii="TimesNewRomanPSMT" w:hAnsi="TimesNewRomanPSMT"/>
          <w:color w:val="000000"/>
          <w:sz w:val="28"/>
          <w:szCs w:val="28"/>
        </w:rPr>
        <w:t xml:space="preserve">% виконання), що більше на </w:t>
      </w:r>
      <w:r>
        <w:rPr>
          <w:rFonts w:ascii="Times New Roman" w:hAnsi="Times New Roman"/>
          <w:color w:val="000000"/>
          <w:sz w:val="28"/>
          <w:szCs w:val="28"/>
        </w:rPr>
        <w:t>2871,5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уточненого планового обсягу </w:t>
      </w:r>
      <w:r>
        <w:rPr>
          <w:rFonts w:ascii="Times New Roman" w:hAnsi="Times New Roman"/>
          <w:color w:val="000000"/>
          <w:sz w:val="28"/>
          <w:szCs w:val="28"/>
        </w:rPr>
        <w:t>18626,8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.;</w:t>
      </w:r>
    </w:p>
    <w:p w:rsidR="00413DC1" w:rsidRDefault="00413DC1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 xml:space="preserve">до спеціального фонду – </w:t>
      </w:r>
      <w:r>
        <w:rPr>
          <w:rFonts w:ascii="Times New Roman" w:hAnsi="Times New Roman"/>
          <w:color w:val="000000"/>
          <w:sz w:val="28"/>
          <w:szCs w:val="28"/>
        </w:rPr>
        <w:t>2719,8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 (</w:t>
      </w:r>
      <w:r>
        <w:rPr>
          <w:rFonts w:ascii="Times New Roman" w:hAnsi="Times New Roman"/>
          <w:color w:val="000000"/>
          <w:sz w:val="28"/>
          <w:szCs w:val="28"/>
        </w:rPr>
        <w:t>285,5</w:t>
      </w:r>
      <w:r>
        <w:rPr>
          <w:rFonts w:ascii="TimesNewRomanPSMT" w:hAnsi="TimesNewRomanPSMT"/>
          <w:color w:val="000000"/>
          <w:sz w:val="28"/>
          <w:szCs w:val="28"/>
        </w:rPr>
        <w:t xml:space="preserve">% виконання), що більше на </w:t>
      </w:r>
      <w:r>
        <w:rPr>
          <w:rFonts w:ascii="Times New Roman" w:hAnsi="Times New Roman"/>
          <w:color w:val="000000"/>
          <w:sz w:val="28"/>
          <w:szCs w:val="28"/>
        </w:rPr>
        <w:t>1761,2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від уточненого планового обсягу </w:t>
      </w:r>
      <w:r>
        <w:rPr>
          <w:rFonts w:ascii="Times New Roman" w:hAnsi="Times New Roman"/>
          <w:color w:val="000000"/>
          <w:sz w:val="28"/>
          <w:szCs w:val="28"/>
        </w:rPr>
        <w:t>952,6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413DC1" w:rsidRDefault="00413DC1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Надходження офіційних трансфертів в звітному періоді становили     </w:t>
      </w:r>
      <w:r>
        <w:rPr>
          <w:rFonts w:ascii="Times New Roman" w:hAnsi="Times New Roman"/>
          <w:color w:val="000000"/>
          <w:sz w:val="28"/>
          <w:szCs w:val="28"/>
        </w:rPr>
        <w:t>13071,0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., або 99,</w:t>
      </w: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 xml:space="preserve"> % уточненого планового обсягу, та на </w:t>
      </w:r>
      <w:r>
        <w:rPr>
          <w:rFonts w:ascii="Times New Roman" w:hAnsi="Times New Roman"/>
          <w:color w:val="000000"/>
          <w:sz w:val="28"/>
          <w:szCs w:val="28"/>
        </w:rPr>
        <w:t>234,3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менше</w:t>
      </w:r>
      <w:r>
        <w:rPr>
          <w:rFonts w:ascii="TimesNewRomanPSMT" w:hAnsi="TimesNewRomanPSMT"/>
          <w:color w:val="000000"/>
          <w:sz w:val="28"/>
          <w:szCs w:val="28"/>
        </w:rPr>
        <w:t xml:space="preserve"> за відповідний період 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року.</w:t>
      </w:r>
    </w:p>
    <w:p w:rsidR="00413DC1" w:rsidRDefault="00413DC1" w:rsidP="009C1132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Структура бюджету громади за  </w:t>
      </w:r>
      <w:r>
        <w:rPr>
          <w:rFonts w:ascii="Times New Roman" w:hAnsi="Times New Roman"/>
          <w:color w:val="000000"/>
          <w:sz w:val="28"/>
          <w:szCs w:val="28"/>
        </w:rPr>
        <w:t>І квартал</w:t>
      </w:r>
      <w:r>
        <w:rPr>
          <w:rFonts w:ascii="TimesNewRomanPSMT" w:hAnsi="TimesNewRomanPSMT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 за основними джерелами доходів характеризується даними, наведеними у рис.3.</w:t>
      </w:r>
    </w:p>
    <w:p w:rsidR="00413DC1" w:rsidRDefault="00413DC1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13DC1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Pr="00493C47" w:rsidRDefault="00413DC1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493C4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Рис. 3.  Структура дохідної частини  бюджету </w:t>
      </w:r>
    </w:p>
    <w:p w:rsidR="00413DC1" w:rsidRPr="00CA02B6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071B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за </w:t>
      </w:r>
      <w:r w:rsidRPr="0074071B">
        <w:rPr>
          <w:rFonts w:ascii="Times New Roman" w:hAnsi="Times New Roman"/>
          <w:b/>
          <w:bCs/>
          <w:color w:val="000000"/>
          <w:sz w:val="28"/>
          <w:szCs w:val="28"/>
        </w:rPr>
        <w:t xml:space="preserve">І квартал </w:t>
      </w:r>
      <w:r w:rsidRPr="0074071B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20</w:t>
      </w:r>
      <w:r w:rsidRPr="0074071B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Pr="0074071B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</w:t>
      </w:r>
      <w:r w:rsidRPr="0074071B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="0074071B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</w:t>
      </w:r>
    </w:p>
    <w:p w:rsidR="00413DC1" w:rsidRDefault="00413DC1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13DC1" w:rsidRDefault="0074071B" w:rsidP="0083385F">
      <w:pPr>
        <w:spacing w:after="0" w:line="240" w:lineRule="auto"/>
        <w:ind w:left="-360" w:firstLine="18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6A557595" wp14:editId="5BD4B7A8">
            <wp:extent cx="6448425" cy="5543550"/>
            <wp:effectExtent l="57150" t="57150" r="47625" b="381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13DC1" w:rsidRDefault="00413DC1" w:rsidP="00CD68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CD6885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413DC1" w:rsidRPr="005554FD" w:rsidRDefault="00413DC1" w:rsidP="00CD6885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До загального фонду </w:t>
      </w:r>
      <w:r w:rsidRPr="005554FD">
        <w:rPr>
          <w:rFonts w:ascii="TimesNewRomanPSMT" w:hAnsi="TimesNewRomanPSMT"/>
          <w:color w:val="000000"/>
          <w:sz w:val="28"/>
          <w:szCs w:val="28"/>
        </w:rPr>
        <w:t>бюджету</w:t>
      </w:r>
      <w:r>
        <w:rPr>
          <w:rFonts w:ascii="TimesNewRomanPSMT" w:hAnsi="TimesNewRomanPSMT"/>
          <w:color w:val="000000"/>
          <w:sz w:val="28"/>
          <w:szCs w:val="28"/>
        </w:rPr>
        <w:t xml:space="preserve"> громади</w:t>
      </w:r>
      <w:r w:rsidRPr="005554FD">
        <w:rPr>
          <w:rFonts w:ascii="TimesNewRomanPSMT" w:hAnsi="TimesNewRomanPSMT"/>
          <w:color w:val="000000"/>
          <w:sz w:val="28"/>
          <w:szCs w:val="28"/>
        </w:rPr>
        <w:t xml:space="preserve"> надійшло власних доходів у сумі                  </w:t>
      </w:r>
      <w:r>
        <w:rPr>
          <w:rFonts w:ascii="Times New Roman" w:hAnsi="Times New Roman"/>
          <w:color w:val="000000"/>
          <w:sz w:val="28"/>
          <w:szCs w:val="28"/>
        </w:rPr>
        <w:t>21498,3</w:t>
      </w:r>
      <w:r w:rsidRPr="005554FD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5554FD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Pr="005554FD">
        <w:rPr>
          <w:rFonts w:ascii="TimesNewRomanPSMT" w:hAnsi="TimesNewRomanPSMT"/>
          <w:color w:val="000000"/>
          <w:sz w:val="28"/>
          <w:szCs w:val="28"/>
        </w:rPr>
        <w:t xml:space="preserve">., або </w:t>
      </w:r>
      <w:r>
        <w:rPr>
          <w:rFonts w:ascii="Times New Roman" w:hAnsi="Times New Roman"/>
          <w:color w:val="000000"/>
          <w:sz w:val="28"/>
          <w:szCs w:val="28"/>
        </w:rPr>
        <w:t>115,4</w:t>
      </w:r>
      <w:r w:rsidRPr="005554FD">
        <w:rPr>
          <w:rFonts w:ascii="TimesNewRomanPSMT" w:hAnsi="TimesNewRomanPSMT"/>
          <w:color w:val="000000"/>
          <w:sz w:val="28"/>
          <w:szCs w:val="28"/>
        </w:rPr>
        <w:t xml:space="preserve"> % до затвердженого плану з урахуванням змін на </w:t>
      </w:r>
      <w:r>
        <w:rPr>
          <w:rFonts w:ascii="Times New Roman" w:hAnsi="Times New Roman"/>
          <w:color w:val="000000"/>
          <w:sz w:val="28"/>
          <w:szCs w:val="28"/>
        </w:rPr>
        <w:t xml:space="preserve">І квартал </w:t>
      </w:r>
      <w:r w:rsidR="00EB2FB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</w:t>
      </w:r>
      <w:r w:rsidRPr="005554FD">
        <w:rPr>
          <w:rFonts w:ascii="TimesNewRomanPSMT" w:hAnsi="TimesNewRomanPSMT"/>
          <w:color w:val="000000"/>
          <w:sz w:val="28"/>
          <w:szCs w:val="28"/>
        </w:rPr>
        <w:t xml:space="preserve">. Темп росту доходів порівняно з відповідним періодом минулого року склав </w:t>
      </w:r>
      <w:r>
        <w:rPr>
          <w:rFonts w:ascii="Times New Roman" w:hAnsi="Times New Roman"/>
          <w:color w:val="000000"/>
          <w:sz w:val="28"/>
          <w:szCs w:val="28"/>
        </w:rPr>
        <w:t>119,7</w:t>
      </w:r>
      <w:r w:rsidRPr="005554FD">
        <w:rPr>
          <w:rFonts w:ascii="TimesNewRomanPSMT" w:hAnsi="TimesNewRomanPSMT"/>
          <w:color w:val="000000"/>
          <w:sz w:val="28"/>
          <w:szCs w:val="28"/>
        </w:rPr>
        <w:t>%  (+</w:t>
      </w:r>
      <w:r>
        <w:rPr>
          <w:rFonts w:ascii="Times New Roman" w:hAnsi="Times New Roman"/>
          <w:color w:val="000000"/>
          <w:sz w:val="28"/>
          <w:szCs w:val="28"/>
        </w:rPr>
        <w:t>3543,4</w:t>
      </w:r>
      <w:r w:rsidRPr="005554FD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5554FD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Pr="005554FD">
        <w:rPr>
          <w:rFonts w:ascii="TimesNewRomanPSMT" w:hAnsi="TimesNewRomanPSMT"/>
          <w:color w:val="000000"/>
          <w:sz w:val="28"/>
          <w:szCs w:val="28"/>
        </w:rPr>
        <w:t xml:space="preserve">.). </w:t>
      </w:r>
    </w:p>
    <w:p w:rsidR="00413DC1" w:rsidRDefault="00413DC1" w:rsidP="00CD6885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554FD">
        <w:rPr>
          <w:rFonts w:ascii="TimesNewRomanPSMT" w:hAnsi="TimesNewRomanPSMT"/>
          <w:color w:val="000000"/>
          <w:sz w:val="28"/>
          <w:szCs w:val="28"/>
        </w:rPr>
        <w:t>У структурі доходів найбільшу питому вагу мають податок на доходи фізичних осіб (</w:t>
      </w:r>
      <w:r>
        <w:rPr>
          <w:rFonts w:ascii="Times New Roman" w:hAnsi="Times New Roman"/>
          <w:color w:val="000000"/>
          <w:sz w:val="28"/>
          <w:szCs w:val="28"/>
        </w:rPr>
        <w:t>50,5</w:t>
      </w:r>
      <w:r w:rsidRPr="005554FD">
        <w:rPr>
          <w:rFonts w:ascii="TimesNewRomanPSMT" w:hAnsi="TimesNewRomanPSMT"/>
          <w:color w:val="000000"/>
          <w:sz w:val="28"/>
          <w:szCs w:val="28"/>
        </w:rPr>
        <w:t>%), плата за землю (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>19,4</w:t>
      </w:r>
      <w:r w:rsidRPr="005554FD">
        <w:rPr>
          <w:rFonts w:ascii="TimesNewRomanPSMT" w:hAnsi="TimesNewRomanPSMT"/>
          <w:color w:val="000000"/>
          <w:sz w:val="28"/>
          <w:szCs w:val="28"/>
        </w:rPr>
        <w:t>%), єдиний податок (</w:t>
      </w:r>
      <w:r>
        <w:rPr>
          <w:rFonts w:ascii="Times New Roman" w:hAnsi="Times New Roman"/>
          <w:color w:val="000000"/>
          <w:sz w:val="28"/>
          <w:szCs w:val="28"/>
        </w:rPr>
        <w:t>20,1</w:t>
      </w:r>
      <w:r w:rsidRPr="005554FD">
        <w:rPr>
          <w:rFonts w:ascii="TimesNewRomanPSMT" w:hAnsi="TimesNewRomanPSMT"/>
          <w:color w:val="000000"/>
          <w:sz w:val="28"/>
          <w:szCs w:val="28"/>
        </w:rPr>
        <w:t>%).</w:t>
      </w:r>
    </w:p>
    <w:p w:rsidR="00413DC1" w:rsidRDefault="00413DC1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413DC1" w:rsidRPr="00FA6059" w:rsidRDefault="00413DC1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FA605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Податок та збір на доходи фізичних осіб</w:t>
      </w:r>
    </w:p>
    <w:p w:rsidR="00413DC1" w:rsidRDefault="00413DC1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554FD">
        <w:rPr>
          <w:rFonts w:ascii="TimesNewRomanPSMT" w:hAnsi="TimesNewRomanPSMT"/>
          <w:color w:val="000000"/>
          <w:sz w:val="28"/>
          <w:szCs w:val="28"/>
        </w:rPr>
        <w:t>По податку на доходи фізичних осіб при уточненому плані на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І квартал</w:t>
      </w:r>
      <w:r>
        <w:rPr>
          <w:rFonts w:ascii="TimesNewRomanPSMT" w:hAnsi="TimesNewRomanPSMT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NewRomanPSMT" w:hAnsi="TimesNewRomanPSMT"/>
          <w:color w:val="000000"/>
          <w:sz w:val="28"/>
          <w:szCs w:val="28"/>
        </w:rPr>
        <w:t xml:space="preserve"> року</w:t>
      </w:r>
      <w:r w:rsidRPr="00CD688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10934,0</w:t>
      </w:r>
      <w:r w:rsidRPr="00CD688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CD6885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Pr="00CD6885">
        <w:rPr>
          <w:rFonts w:ascii="TimesNewRomanPSMT" w:hAnsi="TimesNewRomanPSMT"/>
          <w:color w:val="000000"/>
          <w:sz w:val="28"/>
          <w:szCs w:val="28"/>
        </w:rPr>
        <w:t xml:space="preserve">. фактично надійшло </w:t>
      </w:r>
      <w:r>
        <w:rPr>
          <w:rFonts w:ascii="Times New Roman" w:hAnsi="Times New Roman"/>
          <w:color w:val="000000"/>
          <w:sz w:val="28"/>
          <w:szCs w:val="28"/>
        </w:rPr>
        <w:t>10846,2</w:t>
      </w:r>
      <w:r w:rsidRPr="00CD688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CD6885"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 w:rsidRPr="00CD6885">
        <w:rPr>
          <w:rFonts w:ascii="TimesNewRomanPSMT" w:hAnsi="TimesNewRomanPSMT"/>
          <w:color w:val="000000"/>
          <w:sz w:val="28"/>
          <w:szCs w:val="28"/>
        </w:rPr>
        <w:t xml:space="preserve">., що становить </w:t>
      </w:r>
      <w:r>
        <w:rPr>
          <w:rFonts w:ascii="Times New Roman" w:hAnsi="Times New Roman"/>
          <w:color w:val="000000"/>
          <w:sz w:val="28"/>
          <w:szCs w:val="28"/>
        </w:rPr>
        <w:t>99,2</w:t>
      </w:r>
      <w:r w:rsidRPr="00CD6885">
        <w:rPr>
          <w:rFonts w:ascii="TimesNewRomanPSMT" w:hAnsi="TimesNewRomanPSMT"/>
          <w:color w:val="000000"/>
          <w:sz w:val="28"/>
          <w:szCs w:val="28"/>
        </w:rPr>
        <w:t>%. Темп росту у порівнянні з аналогічним п</w:t>
      </w:r>
      <w:r w:rsidR="00DC6D68">
        <w:rPr>
          <w:rFonts w:ascii="TimesNewRomanPSMT" w:hAnsi="TimesNewRomanPSMT"/>
          <w:color w:val="000000"/>
          <w:sz w:val="28"/>
          <w:szCs w:val="28"/>
        </w:rPr>
        <w:t>еріодом минулого року становить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D6885">
        <w:rPr>
          <w:rFonts w:ascii="TimesNewRomanPSMT" w:hAnsi="TimesNewRomanPSMT"/>
          <w:color w:val="000000"/>
          <w:sz w:val="28"/>
          <w:szCs w:val="28"/>
        </w:rPr>
        <w:t>+</w:t>
      </w:r>
      <w:r>
        <w:rPr>
          <w:rFonts w:ascii="Times New Roman" w:hAnsi="Times New Roman"/>
          <w:color w:val="000000"/>
          <w:sz w:val="28"/>
          <w:szCs w:val="28"/>
        </w:rPr>
        <w:t>10,6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D6885">
        <w:rPr>
          <w:rFonts w:ascii="TimesNewRomanPSMT" w:hAnsi="TimesNewRomanPSMT"/>
          <w:color w:val="000000"/>
          <w:sz w:val="28"/>
          <w:szCs w:val="28"/>
        </w:rPr>
        <w:t xml:space="preserve">% (збільшився на </w:t>
      </w:r>
      <w:r>
        <w:rPr>
          <w:rFonts w:ascii="Times New Roman" w:hAnsi="Times New Roman"/>
          <w:color w:val="000000"/>
          <w:sz w:val="28"/>
          <w:szCs w:val="28"/>
        </w:rPr>
        <w:t>1041,0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.), що пояснюється збільшенням фонду оплати праці за рахунок:</w:t>
      </w:r>
    </w:p>
    <w:p w:rsidR="00413DC1" w:rsidRDefault="00413DC1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- зростання мінімальної заробітної плати до </w:t>
      </w:r>
      <w:r>
        <w:rPr>
          <w:rFonts w:ascii="Times New Roman" w:hAnsi="Times New Roman"/>
          <w:color w:val="000000"/>
          <w:sz w:val="28"/>
          <w:szCs w:val="28"/>
        </w:rPr>
        <w:t>4723</w:t>
      </w:r>
      <w:r>
        <w:rPr>
          <w:rFonts w:ascii="TimesNewRomanPSMT" w:hAnsi="TimesNewRomanPSMT"/>
          <w:color w:val="000000"/>
          <w:sz w:val="28"/>
          <w:szCs w:val="28"/>
        </w:rPr>
        <w:t xml:space="preserve">,0 грн., </w:t>
      </w:r>
      <w:r w:rsidRPr="00413A93">
        <w:rPr>
          <w:rFonts w:ascii="TimesNewRomanPSMT" w:hAnsi="TimesNewRomanPSMT"/>
          <w:color w:val="000000"/>
          <w:sz w:val="28"/>
          <w:szCs w:val="28"/>
        </w:rPr>
        <w:t>наведено на рис.4.</w:t>
      </w:r>
    </w:p>
    <w:p w:rsidR="00413DC1" w:rsidRDefault="0074071B" w:rsidP="00A80210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483860" cy="2844800"/>
            <wp:effectExtent l="57150" t="0" r="78740" b="50800"/>
            <wp:docPr id="4" name="Схе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13DC1" w:rsidRDefault="00413DC1" w:rsidP="00841CA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7F77E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Податку на майно, відмінне від земельної ділянки </w:t>
      </w:r>
      <w:r w:rsidRPr="00AD47F1">
        <w:rPr>
          <w:rFonts w:ascii="Times New Roman" w:hAnsi="Times New Roman"/>
          <w:color w:val="000000"/>
          <w:sz w:val="28"/>
          <w:szCs w:val="28"/>
        </w:rPr>
        <w:t>надійшло</w:t>
      </w:r>
      <w:r w:rsidRPr="00841CAA">
        <w:rPr>
          <w:rFonts w:ascii="Times New Roman" w:hAnsi="Times New Roman"/>
          <w:color w:val="000000"/>
          <w:sz w:val="28"/>
          <w:szCs w:val="28"/>
        </w:rPr>
        <w:t xml:space="preserve"> до бюджету в сумі</w:t>
      </w:r>
      <w:r>
        <w:rPr>
          <w:rFonts w:ascii="Times New Roman" w:hAnsi="Times New Roman"/>
          <w:color w:val="000000"/>
          <w:sz w:val="28"/>
          <w:szCs w:val="28"/>
        </w:rPr>
        <w:t xml:space="preserve"> 330,7</w:t>
      </w:r>
      <w:r w:rsidRPr="00841CA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1CA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841CA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, що на 183,3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більше ніж за аналогічний період 2019 року.</w:t>
      </w:r>
    </w:p>
    <w:p w:rsidR="00413DC1" w:rsidRDefault="00413DC1" w:rsidP="00841C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/>
          <w:b/>
          <w:sz w:val="28"/>
          <w:szCs w:val="28"/>
          <w:u w:val="single"/>
        </w:rPr>
        <w:t>Плата за землю</w:t>
      </w:r>
    </w:p>
    <w:p w:rsidR="00413DC1" w:rsidRPr="00FE670E" w:rsidRDefault="00413DC1" w:rsidP="00051B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FE670E">
        <w:rPr>
          <w:rFonts w:ascii="Times New Roman" w:hAnsi="Times New Roman"/>
          <w:sz w:val="28"/>
          <w:szCs w:val="28"/>
        </w:rPr>
        <w:t xml:space="preserve">и плані на </w:t>
      </w:r>
      <w:r>
        <w:rPr>
          <w:rFonts w:ascii="Times New Roman" w:hAnsi="Times New Roman"/>
          <w:sz w:val="28"/>
          <w:szCs w:val="28"/>
        </w:rPr>
        <w:t>І квартал 2020 року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3989,1</w:t>
      </w:r>
      <w:r w:rsidRPr="00FE670E">
        <w:rPr>
          <w:rFonts w:ascii="Times New Roman" w:hAnsi="Times New Roman"/>
          <w:sz w:val="28"/>
          <w:szCs w:val="28"/>
        </w:rPr>
        <w:t xml:space="preserve">тис.грн. фактично надійшло </w:t>
      </w:r>
      <w:r w:rsidR="007B543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4177,7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 xml:space="preserve">., що становить </w:t>
      </w:r>
      <w:r>
        <w:rPr>
          <w:rFonts w:ascii="Times New Roman" w:hAnsi="Times New Roman"/>
          <w:sz w:val="28"/>
          <w:szCs w:val="28"/>
        </w:rPr>
        <w:t xml:space="preserve">104,7 </w:t>
      </w:r>
      <w:r w:rsidRPr="00FE670E">
        <w:rPr>
          <w:rFonts w:ascii="Times New Roman" w:hAnsi="Times New Roman"/>
          <w:sz w:val="28"/>
          <w:szCs w:val="28"/>
        </w:rPr>
        <w:t xml:space="preserve">%. Темп росту у  порівнянні з </w:t>
      </w:r>
      <w:r w:rsidRPr="00FE670E">
        <w:rPr>
          <w:rFonts w:ascii="Times New Roman" w:hAnsi="Times New Roman"/>
          <w:bCs/>
          <w:sz w:val="28"/>
          <w:szCs w:val="28"/>
        </w:rPr>
        <w:t xml:space="preserve">аналогічним періодом минулого року </w:t>
      </w:r>
      <w:r>
        <w:rPr>
          <w:rFonts w:ascii="Times New Roman" w:hAnsi="Times New Roman"/>
          <w:bCs/>
          <w:sz w:val="28"/>
          <w:szCs w:val="28"/>
        </w:rPr>
        <w:t xml:space="preserve">становить + 37671,9 </w:t>
      </w:r>
      <w:proofErr w:type="spellStart"/>
      <w:r>
        <w:rPr>
          <w:rFonts w:ascii="Times New Roman" w:hAnsi="Times New Roman"/>
          <w:bCs/>
          <w:sz w:val="28"/>
          <w:szCs w:val="28"/>
        </w:rPr>
        <w:t>тис.грн</w:t>
      </w:r>
      <w:proofErr w:type="spellEnd"/>
      <w:r>
        <w:rPr>
          <w:rFonts w:ascii="Times New Roman" w:hAnsi="Times New Roman"/>
          <w:bCs/>
          <w:sz w:val="28"/>
          <w:szCs w:val="28"/>
        </w:rPr>
        <w:t>. або 101,8%</w:t>
      </w:r>
      <w:r w:rsidRPr="00FE670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13DC1" w:rsidRDefault="00413DC1" w:rsidP="00B668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670E">
        <w:rPr>
          <w:rFonts w:ascii="Times New Roman" w:hAnsi="Times New Roman"/>
          <w:color w:val="000000"/>
          <w:sz w:val="28"/>
          <w:szCs w:val="28"/>
        </w:rPr>
        <w:t xml:space="preserve">Структура динаміки надходжень плати за землю у розрізі платежів </w:t>
      </w:r>
      <w:r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7B543D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І квартал 2020 року</w:t>
      </w:r>
      <w:r w:rsidRPr="00FE670E">
        <w:rPr>
          <w:rFonts w:ascii="Times New Roman" w:hAnsi="Times New Roman"/>
          <w:color w:val="000000"/>
          <w:sz w:val="28"/>
          <w:szCs w:val="28"/>
        </w:rPr>
        <w:t xml:space="preserve"> характ</w:t>
      </w:r>
      <w:r>
        <w:rPr>
          <w:rFonts w:ascii="Times New Roman" w:hAnsi="Times New Roman"/>
          <w:color w:val="000000"/>
          <w:sz w:val="28"/>
          <w:szCs w:val="28"/>
        </w:rPr>
        <w:t xml:space="preserve">еризується даними, </w:t>
      </w:r>
      <w:r w:rsidRPr="00991906">
        <w:rPr>
          <w:rFonts w:ascii="Times New Roman" w:hAnsi="Times New Roman"/>
          <w:color w:val="000000"/>
          <w:sz w:val="28"/>
          <w:szCs w:val="28"/>
        </w:rPr>
        <w:t>наведеними на рис.5.</w:t>
      </w:r>
    </w:p>
    <w:p w:rsidR="00413DC1" w:rsidRDefault="00413DC1" w:rsidP="00B6687D">
      <w:pPr>
        <w:spacing w:after="0" w:line="240" w:lineRule="auto"/>
        <w:ind w:firstLine="709"/>
        <w:jc w:val="both"/>
        <w:rPr>
          <w:rFonts w:eastAsia="MS Mincho"/>
          <w:b/>
          <w:i/>
          <w:sz w:val="28"/>
          <w:szCs w:val="28"/>
        </w:rPr>
      </w:pPr>
    </w:p>
    <w:p w:rsidR="00413DC1" w:rsidRDefault="0074071B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eastAsia="uk-UA"/>
        </w:rPr>
        <w:drawing>
          <wp:inline distT="0" distB="0" distL="0" distR="0">
            <wp:extent cx="6102350" cy="1651000"/>
            <wp:effectExtent l="57150" t="57150" r="69850" b="44450"/>
            <wp:docPr id="5" name="Схе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413DC1" w:rsidRDefault="00413DC1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</w:p>
    <w:p w:rsidR="00413DC1" w:rsidRDefault="0074071B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eastAsia="uk-UA"/>
        </w:rPr>
        <w:drawing>
          <wp:inline distT="0" distB="0" distL="0" distR="0">
            <wp:extent cx="6165215" cy="1574800"/>
            <wp:effectExtent l="57150" t="57150" r="64135" b="44450"/>
            <wp:docPr id="6" name="Схема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413DC1" w:rsidRDefault="0074071B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6102350" cy="1289685"/>
            <wp:effectExtent l="57150" t="57150" r="69850" b="62865"/>
            <wp:docPr id="7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413DC1" w:rsidRDefault="00413DC1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</w:p>
    <w:p w:rsidR="00413DC1" w:rsidRDefault="0074071B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eastAsia="uk-UA"/>
        </w:rPr>
        <w:drawing>
          <wp:inline distT="0" distB="0" distL="0" distR="0">
            <wp:extent cx="6165215" cy="1593850"/>
            <wp:effectExtent l="57150" t="57150" r="64135" b="44450"/>
            <wp:docPr id="8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413DC1" w:rsidRDefault="00413DC1" w:rsidP="00B846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B846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Транспортного податку за І квартал 2020 надійшло до бюджету в сумі     10,8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що  становить 109,5% до плану, та на 3,5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більше ніж за відповідний період 2019 року.</w:t>
      </w:r>
    </w:p>
    <w:p w:rsidR="00413DC1" w:rsidRDefault="00413DC1" w:rsidP="00B846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13DC1" w:rsidRPr="00841CAA" w:rsidRDefault="00413DC1" w:rsidP="00841C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/>
          <w:b/>
          <w:sz w:val="28"/>
          <w:szCs w:val="28"/>
          <w:u w:val="single"/>
        </w:rPr>
        <w:t>Єдиний податок</w:t>
      </w:r>
    </w:p>
    <w:p w:rsidR="00413DC1" w:rsidRPr="00FE670E" w:rsidRDefault="00413DC1" w:rsidP="00FE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70E">
        <w:rPr>
          <w:rFonts w:ascii="Times New Roman" w:hAnsi="Times New Roman"/>
          <w:sz w:val="28"/>
          <w:szCs w:val="28"/>
        </w:rPr>
        <w:t>Виконання</w:t>
      </w:r>
      <w:r w:rsidRPr="00FE670E">
        <w:rPr>
          <w:rFonts w:ascii="Times New Roman" w:hAnsi="Times New Roman"/>
          <w:b/>
          <w:sz w:val="28"/>
          <w:szCs w:val="28"/>
        </w:rPr>
        <w:t xml:space="preserve"> </w:t>
      </w:r>
      <w:r w:rsidRPr="00841CAA">
        <w:rPr>
          <w:rFonts w:ascii="Times New Roman" w:hAnsi="Times New Roman"/>
          <w:sz w:val="28"/>
          <w:szCs w:val="28"/>
        </w:rPr>
        <w:t>єдиного податку</w:t>
      </w:r>
      <w:r w:rsidRPr="00FE670E">
        <w:rPr>
          <w:rFonts w:ascii="Times New Roman" w:hAnsi="Times New Roman"/>
          <w:b/>
          <w:sz w:val="28"/>
          <w:szCs w:val="28"/>
        </w:rPr>
        <w:t xml:space="preserve"> </w:t>
      </w:r>
      <w:r w:rsidRPr="00FE670E">
        <w:rPr>
          <w:rFonts w:ascii="Times New Roman" w:hAnsi="Times New Roman"/>
          <w:sz w:val="28"/>
          <w:szCs w:val="28"/>
        </w:rPr>
        <w:t>при уточненому плані</w:t>
      </w:r>
      <w:r w:rsidRPr="00473835">
        <w:rPr>
          <w:rFonts w:ascii="Times New Roman" w:hAnsi="Times New Roman"/>
          <w:b/>
          <w:sz w:val="28"/>
          <w:szCs w:val="28"/>
        </w:rPr>
        <w:t xml:space="preserve"> </w:t>
      </w:r>
      <w:r w:rsidRPr="00473835">
        <w:rPr>
          <w:rFonts w:ascii="Times New Roman" w:hAnsi="Times New Roman"/>
          <w:sz w:val="28"/>
          <w:szCs w:val="28"/>
        </w:rPr>
        <w:t>на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 квартал 2020 року</w:t>
      </w:r>
      <w:r w:rsidRPr="00FE670E">
        <w:rPr>
          <w:rFonts w:ascii="Times New Roman" w:hAnsi="Times New Roman"/>
          <w:sz w:val="28"/>
          <w:szCs w:val="28"/>
        </w:rPr>
        <w:t xml:space="preserve"> становить </w:t>
      </w:r>
      <w:r>
        <w:rPr>
          <w:rFonts w:ascii="Times New Roman" w:hAnsi="Times New Roman"/>
          <w:sz w:val="28"/>
          <w:szCs w:val="28"/>
        </w:rPr>
        <w:t>159,4</w:t>
      </w:r>
      <w:r w:rsidRPr="00FE670E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 xml:space="preserve">1610,4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E670E">
        <w:rPr>
          <w:rFonts w:ascii="Times New Roman" w:hAnsi="Times New Roman"/>
          <w:sz w:val="28"/>
          <w:szCs w:val="28"/>
        </w:rPr>
        <w:t xml:space="preserve">Темп  росту у порівнянні з аналогічним періодом минулого року становить </w:t>
      </w:r>
      <w:r>
        <w:rPr>
          <w:rFonts w:ascii="Times New Roman" w:hAnsi="Times New Roman"/>
          <w:sz w:val="28"/>
          <w:szCs w:val="28"/>
        </w:rPr>
        <w:t>144,0</w:t>
      </w:r>
      <w:r w:rsidRPr="00FE670E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над</w:t>
      </w:r>
      <w:r w:rsidR="00DC6D68">
        <w:rPr>
          <w:rFonts w:ascii="Times New Roman" w:hAnsi="Times New Roman"/>
          <w:sz w:val="28"/>
          <w:szCs w:val="28"/>
        </w:rPr>
        <w:t>ходження збільшились на 1321,0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 xml:space="preserve">.). </w:t>
      </w:r>
    </w:p>
    <w:p w:rsidR="00413DC1" w:rsidRDefault="00413DC1" w:rsidP="00FE67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670E">
        <w:rPr>
          <w:rFonts w:ascii="Times New Roman" w:hAnsi="Times New Roman"/>
          <w:color w:val="000000"/>
          <w:sz w:val="28"/>
          <w:szCs w:val="28"/>
        </w:rPr>
        <w:t xml:space="preserve">Структура динаміки надходжень зі сплати єдиного податку у розрізі платежів за </w:t>
      </w:r>
      <w:r>
        <w:rPr>
          <w:rFonts w:ascii="Times New Roman" w:hAnsi="Times New Roman"/>
          <w:color w:val="000000"/>
          <w:sz w:val="28"/>
          <w:szCs w:val="28"/>
        </w:rPr>
        <w:t>І квартал 2020 року</w:t>
      </w:r>
      <w:r w:rsidRPr="00FE670E">
        <w:rPr>
          <w:rFonts w:ascii="Times New Roman" w:hAnsi="Times New Roman"/>
          <w:color w:val="000000"/>
          <w:sz w:val="28"/>
          <w:szCs w:val="28"/>
        </w:rPr>
        <w:t xml:space="preserve"> характ</w:t>
      </w:r>
      <w:r>
        <w:rPr>
          <w:rFonts w:ascii="Times New Roman" w:hAnsi="Times New Roman"/>
          <w:color w:val="000000"/>
          <w:sz w:val="28"/>
          <w:szCs w:val="28"/>
        </w:rPr>
        <w:t>еризується даними</w:t>
      </w:r>
      <w:r w:rsidRPr="00DC6D68">
        <w:rPr>
          <w:rFonts w:ascii="Times New Roman" w:hAnsi="Times New Roman"/>
          <w:color w:val="000000"/>
          <w:sz w:val="28"/>
          <w:szCs w:val="28"/>
        </w:rPr>
        <w:t>, наведеними на рис. 6.</w:t>
      </w:r>
    </w:p>
    <w:p w:rsidR="00413DC1" w:rsidRPr="00FE670E" w:rsidRDefault="00413DC1" w:rsidP="00FE67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74071B" w:rsidP="00D27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312535" cy="3657600"/>
            <wp:effectExtent l="38100" t="0" r="50165" b="0"/>
            <wp:docPr id="9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413DC1" w:rsidRPr="00EE6A38" w:rsidRDefault="00413DC1" w:rsidP="00132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DC1" w:rsidRPr="004770A7" w:rsidRDefault="00413DC1" w:rsidP="00E719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64A2">
        <w:rPr>
          <w:rFonts w:ascii="TimesNewRomanPSMT" w:hAnsi="TimesNewRomanPSMT"/>
          <w:sz w:val="28"/>
          <w:szCs w:val="28"/>
        </w:rPr>
        <w:lastRenderedPageBreak/>
        <w:t xml:space="preserve">Акцизного податку з </w:t>
      </w:r>
      <w:r w:rsidRPr="000D64A2">
        <w:rPr>
          <w:rFonts w:ascii="TimesNewRomanPSMT" w:hAnsi="TimesNewRomanPSMT"/>
          <w:b/>
          <w:sz w:val="28"/>
          <w:szCs w:val="28"/>
        </w:rPr>
        <w:t>пального</w:t>
      </w:r>
      <w:r w:rsidRPr="000D64A2">
        <w:rPr>
          <w:rFonts w:ascii="TimesNewRomanPSMT" w:hAnsi="TimesNewRomanPSMT"/>
          <w:sz w:val="28"/>
          <w:szCs w:val="28"/>
        </w:rPr>
        <w:t xml:space="preserve"> (виробленого в Україні) та акцизного податку з </w:t>
      </w:r>
      <w:r w:rsidRPr="000D64A2">
        <w:rPr>
          <w:rFonts w:ascii="TimesNewRomanPSMT" w:hAnsi="TimesNewRomanPSMT"/>
          <w:b/>
          <w:sz w:val="28"/>
          <w:szCs w:val="28"/>
        </w:rPr>
        <w:t>пального</w:t>
      </w:r>
      <w:r w:rsidRPr="000D64A2">
        <w:rPr>
          <w:rFonts w:ascii="TimesNewRomanPSMT" w:hAnsi="TimesNewRomanPSMT"/>
          <w:sz w:val="28"/>
          <w:szCs w:val="28"/>
        </w:rPr>
        <w:t xml:space="preserve"> (ввезеного на митну територію Україні)</w:t>
      </w:r>
      <w:r>
        <w:rPr>
          <w:rFonts w:ascii="TimesNewRomanPSMT" w:hAnsi="TimesNewRomanPSMT"/>
          <w:sz w:val="28"/>
          <w:szCs w:val="28"/>
        </w:rPr>
        <w:t xml:space="preserve"> до бюджету громади за </w:t>
      </w:r>
      <w:r>
        <w:rPr>
          <w:rFonts w:ascii="Times New Roman" w:hAnsi="Times New Roman"/>
          <w:sz w:val="28"/>
          <w:szCs w:val="28"/>
        </w:rPr>
        <w:t>І квартал 2020</w:t>
      </w:r>
      <w:r w:rsidRPr="000D64A2">
        <w:rPr>
          <w:rFonts w:ascii="TimesNewRomanPSMT" w:hAnsi="TimesNewRomanPSMT"/>
          <w:sz w:val="28"/>
          <w:szCs w:val="28"/>
        </w:rPr>
        <w:t xml:space="preserve"> року </w:t>
      </w:r>
      <w:r>
        <w:rPr>
          <w:rFonts w:ascii="TimesNewRomanPSMT" w:hAnsi="TimesNewRomanPSMT"/>
          <w:sz w:val="28"/>
          <w:szCs w:val="28"/>
        </w:rPr>
        <w:t xml:space="preserve">надійшло в сумі </w:t>
      </w:r>
      <w:r>
        <w:rPr>
          <w:rFonts w:ascii="Times New Roman" w:hAnsi="Times New Roman"/>
          <w:sz w:val="28"/>
          <w:szCs w:val="28"/>
        </w:rPr>
        <w:t>795,3</w:t>
      </w:r>
      <w:r>
        <w:rPr>
          <w:rFonts w:ascii="TimesNewRomanPSMT" w:hAnsi="TimesNewRomanPSMT"/>
          <w:sz w:val="28"/>
          <w:szCs w:val="28"/>
        </w:rPr>
        <w:t xml:space="preserve"> тис. грн.</w:t>
      </w:r>
      <w:r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NewRomanPSMT" w:hAnsi="TimesNewRomanPSMT"/>
          <w:sz w:val="28"/>
          <w:szCs w:val="28"/>
        </w:rPr>
        <w:t>а відповідний період 201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NewRomanPSMT" w:hAnsi="TimesNewRomanPSMT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даний податок до бюджету громади не надходив.</w:t>
      </w:r>
    </w:p>
    <w:p w:rsidR="00413DC1" w:rsidRDefault="00413DC1" w:rsidP="00E71965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71965">
        <w:rPr>
          <w:rFonts w:ascii="TimesNewRomanPSMT" w:hAnsi="TimesNewRomanPSMT"/>
          <w:color w:val="000000"/>
          <w:sz w:val="28"/>
          <w:szCs w:val="28"/>
        </w:rPr>
        <w:t xml:space="preserve">Акцизного податку з реалізації суб'єктами господарювання </w:t>
      </w:r>
      <w:r w:rsidRPr="00E71965">
        <w:rPr>
          <w:rFonts w:ascii="TimesNewRomanPSMT" w:hAnsi="TimesNewRomanPSMT"/>
          <w:b/>
          <w:color w:val="000000"/>
          <w:sz w:val="28"/>
          <w:szCs w:val="28"/>
        </w:rPr>
        <w:t>роздрібної торгівлі підакцизних товарів</w:t>
      </w:r>
      <w:r w:rsidRPr="00E71965">
        <w:rPr>
          <w:rFonts w:ascii="TimesNewRomanPSMT" w:hAnsi="TimesNewRomanPSMT"/>
          <w:color w:val="000000"/>
          <w:sz w:val="28"/>
          <w:szCs w:val="28"/>
        </w:rPr>
        <w:t xml:space="preserve"> отримано </w:t>
      </w:r>
      <w:r>
        <w:rPr>
          <w:rFonts w:ascii="Times New Roman" w:hAnsi="Times New Roman"/>
          <w:color w:val="000000"/>
          <w:sz w:val="28"/>
          <w:szCs w:val="28"/>
        </w:rPr>
        <w:t>586,7</w:t>
      </w:r>
      <w:r w:rsidRPr="00E71965">
        <w:rPr>
          <w:rFonts w:ascii="TimesNewRomanPSMT" w:hAnsi="TimesNewRomanPSMT"/>
          <w:color w:val="000000"/>
          <w:sz w:val="28"/>
          <w:szCs w:val="28"/>
        </w:rPr>
        <w:t xml:space="preserve"> тис. грн. (</w:t>
      </w:r>
      <w:r>
        <w:rPr>
          <w:rFonts w:ascii="Times New Roman" w:hAnsi="Times New Roman"/>
          <w:color w:val="000000"/>
          <w:sz w:val="28"/>
          <w:szCs w:val="28"/>
        </w:rPr>
        <w:t>108,0</w:t>
      </w:r>
      <w:r>
        <w:rPr>
          <w:rFonts w:ascii="TimesNewRomanPSMT" w:hAnsi="TimesNewRomanPSMT"/>
          <w:color w:val="000000"/>
          <w:sz w:val="28"/>
          <w:szCs w:val="28"/>
        </w:rPr>
        <w:t>%</w:t>
      </w:r>
      <w:r w:rsidRPr="00E71965">
        <w:rPr>
          <w:rFonts w:ascii="TimesNewRomanPSMT" w:hAnsi="TimesNewRomanPSMT"/>
          <w:color w:val="000000"/>
          <w:sz w:val="28"/>
          <w:szCs w:val="28"/>
        </w:rPr>
        <w:t xml:space="preserve"> до планового завдання на звітний період, </w:t>
      </w:r>
      <w:r>
        <w:rPr>
          <w:rFonts w:ascii="TimesNewRomanPSMT" w:hAnsi="TimesNewRomanPSMT"/>
          <w:color w:val="000000"/>
          <w:sz w:val="28"/>
          <w:szCs w:val="28"/>
        </w:rPr>
        <w:t xml:space="preserve"> та більше ніж за відповідний період минулого року на </w:t>
      </w:r>
      <w:r>
        <w:rPr>
          <w:rFonts w:ascii="Times New Roman" w:hAnsi="Times New Roman"/>
          <w:color w:val="000000"/>
          <w:sz w:val="28"/>
          <w:szCs w:val="28"/>
        </w:rPr>
        <w:t>16,1</w:t>
      </w:r>
      <w:r>
        <w:rPr>
          <w:rFonts w:ascii="TimesNewRomanPSMT" w:hAnsi="TimesNewRomanPSMT"/>
          <w:color w:val="000000"/>
          <w:sz w:val="28"/>
          <w:szCs w:val="28"/>
        </w:rPr>
        <w:t xml:space="preserve">%, або на </w:t>
      </w:r>
      <w:r>
        <w:rPr>
          <w:rFonts w:ascii="Times New Roman" w:hAnsi="Times New Roman"/>
          <w:color w:val="000000"/>
          <w:sz w:val="28"/>
          <w:szCs w:val="28"/>
        </w:rPr>
        <w:t>81,4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  <w:r w:rsidRPr="00E71965">
        <w:rPr>
          <w:rFonts w:ascii="TimesNewRomanPSMT" w:hAnsi="TimesNewRomanPSMT"/>
          <w:color w:val="000000"/>
          <w:sz w:val="28"/>
          <w:szCs w:val="28"/>
        </w:rPr>
        <w:t xml:space="preserve">). </w:t>
      </w:r>
    </w:p>
    <w:p w:rsidR="00413DC1" w:rsidRPr="00E71965" w:rsidRDefault="00413DC1" w:rsidP="00351367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413DC1" w:rsidRDefault="00413DC1" w:rsidP="00EE6A38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93348">
        <w:rPr>
          <w:rFonts w:ascii="TimesNewRomanPSMT" w:hAnsi="TimesNewRomanPSMT"/>
          <w:b/>
          <w:color w:val="000000"/>
          <w:sz w:val="28"/>
          <w:szCs w:val="28"/>
        </w:rPr>
        <w:t>Податку на прибуток</w:t>
      </w:r>
      <w:r w:rsidRPr="00E93348">
        <w:rPr>
          <w:rFonts w:ascii="TimesNewRomanPSMT" w:hAnsi="TimesNewRomanPSMT"/>
          <w:color w:val="000000"/>
          <w:sz w:val="28"/>
          <w:szCs w:val="28"/>
        </w:rPr>
        <w:t xml:space="preserve"> комунальних підприємств до бюджету</w:t>
      </w:r>
      <w:r>
        <w:rPr>
          <w:rFonts w:ascii="TimesNewRomanPSMT" w:hAnsi="TimesNewRomanPSMT"/>
          <w:color w:val="000000"/>
          <w:sz w:val="28"/>
          <w:szCs w:val="28"/>
        </w:rPr>
        <w:t xml:space="preserve"> ОТГ</w:t>
      </w:r>
      <w:r w:rsidRPr="00E93348">
        <w:rPr>
          <w:rFonts w:ascii="TimesNewRomanPSMT" w:hAnsi="TimesNewRomanPSMT"/>
          <w:color w:val="000000"/>
          <w:sz w:val="28"/>
          <w:szCs w:val="28"/>
        </w:rPr>
        <w:t xml:space="preserve"> надійшло </w:t>
      </w:r>
      <w:r>
        <w:rPr>
          <w:rFonts w:ascii="Times New Roman" w:hAnsi="Times New Roman"/>
          <w:color w:val="000000"/>
          <w:sz w:val="28"/>
          <w:szCs w:val="28"/>
        </w:rPr>
        <w:t>12,1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413DC1" w:rsidRDefault="00413DC1" w:rsidP="00EE6A38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279AA">
        <w:rPr>
          <w:rFonts w:ascii="TimesNewRomanPSMT" w:hAnsi="TimesNewRomanPSMT"/>
          <w:b/>
          <w:color w:val="000000"/>
          <w:sz w:val="28"/>
          <w:szCs w:val="28"/>
        </w:rPr>
        <w:t>Рентної плати</w:t>
      </w:r>
      <w:r>
        <w:rPr>
          <w:rFonts w:ascii="TimesNewRomanPSMT" w:hAnsi="TimesNewRomanPSMT"/>
          <w:color w:val="000000"/>
          <w:sz w:val="28"/>
          <w:szCs w:val="28"/>
        </w:rPr>
        <w:t xml:space="preserve">, а саме, за користування надрами,  </w:t>
      </w:r>
      <w:r>
        <w:rPr>
          <w:rFonts w:ascii="TimesNewRomanPSMT" w:hAnsi="TimesNewRomanPSMT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І квартал 2020</w:t>
      </w:r>
      <w:r w:rsidRPr="000D64A2">
        <w:rPr>
          <w:rFonts w:ascii="TimesNewRomanPSMT" w:hAnsi="TimesNewRomanPSMT"/>
          <w:sz w:val="28"/>
          <w:szCs w:val="28"/>
        </w:rPr>
        <w:t xml:space="preserve"> року </w:t>
      </w:r>
      <w:r>
        <w:rPr>
          <w:rFonts w:ascii="TimesNewRomanPSMT" w:hAnsi="TimesNewRomanPSMT"/>
          <w:color w:val="000000"/>
          <w:sz w:val="28"/>
          <w:szCs w:val="28"/>
        </w:rPr>
        <w:t xml:space="preserve">надійшло в сумі </w:t>
      </w:r>
      <w:r>
        <w:rPr>
          <w:rFonts w:ascii="Times New Roman" w:hAnsi="Times New Roman"/>
          <w:color w:val="000000"/>
          <w:sz w:val="28"/>
          <w:szCs w:val="28"/>
        </w:rPr>
        <w:t>39,5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при плані </w:t>
      </w:r>
      <w:r>
        <w:rPr>
          <w:rFonts w:ascii="Times New Roman" w:hAnsi="Times New Roman"/>
          <w:color w:val="000000"/>
          <w:sz w:val="28"/>
          <w:szCs w:val="28"/>
        </w:rPr>
        <w:t>30,2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тис.грн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413DC1" w:rsidRDefault="00413DC1" w:rsidP="00EE6A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13DC1" w:rsidRDefault="00413DC1" w:rsidP="006B74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13DC1" w:rsidRPr="009D14B3" w:rsidRDefault="00413DC1" w:rsidP="006B74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05C08">
        <w:rPr>
          <w:rFonts w:ascii="Times New Roman" w:hAnsi="Times New Roman"/>
          <w:b/>
          <w:bCs/>
          <w:sz w:val="28"/>
          <w:szCs w:val="28"/>
          <w:u w:val="single"/>
        </w:rPr>
        <w:t>Неподаткові надходження</w:t>
      </w:r>
    </w:p>
    <w:p w:rsidR="00413DC1" w:rsidRPr="006B74C1" w:rsidRDefault="00413DC1" w:rsidP="006B74C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413DC1" w:rsidRPr="006B74C1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01E5">
        <w:rPr>
          <w:rFonts w:ascii="Times New Roman" w:hAnsi="Times New Roman"/>
          <w:color w:val="000000"/>
          <w:sz w:val="28"/>
          <w:szCs w:val="28"/>
        </w:rPr>
        <w:t xml:space="preserve">Планові показники неподаткових платежів на </w:t>
      </w:r>
      <w:r>
        <w:rPr>
          <w:rFonts w:ascii="TimesNewRomanPSMT" w:hAnsi="TimesNewRomanPSMT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І квартал 2020</w:t>
      </w:r>
      <w:r w:rsidRPr="000D64A2">
        <w:rPr>
          <w:rFonts w:ascii="TimesNewRomanPSMT" w:hAnsi="TimesNewRomanPSMT"/>
          <w:sz w:val="28"/>
          <w:szCs w:val="28"/>
        </w:rPr>
        <w:t xml:space="preserve"> року </w:t>
      </w:r>
      <w:r w:rsidRPr="00C501E5">
        <w:rPr>
          <w:rFonts w:ascii="Times New Roman" w:hAnsi="Times New Roman"/>
          <w:color w:val="000000"/>
          <w:sz w:val="28"/>
          <w:szCs w:val="28"/>
        </w:rPr>
        <w:t xml:space="preserve"> становлять </w:t>
      </w:r>
      <w:r>
        <w:rPr>
          <w:rFonts w:ascii="Times New Roman" w:hAnsi="Times New Roman"/>
          <w:b/>
          <w:color w:val="000000"/>
          <w:sz w:val="28"/>
          <w:szCs w:val="28"/>
        </w:rPr>
        <w:t>193,7</w:t>
      </w:r>
      <w:r w:rsidRPr="00C501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501E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C501E5">
        <w:rPr>
          <w:rFonts w:ascii="Times New Roman" w:hAnsi="Times New Roman"/>
          <w:color w:val="000000"/>
          <w:sz w:val="28"/>
          <w:szCs w:val="28"/>
        </w:rPr>
        <w:t xml:space="preserve">.,  фактичні надходження склали  </w:t>
      </w:r>
      <w:r>
        <w:rPr>
          <w:rFonts w:ascii="Times New Roman" w:hAnsi="Times New Roman"/>
          <w:b/>
          <w:color w:val="000000"/>
          <w:sz w:val="28"/>
          <w:szCs w:val="28"/>
        </w:rPr>
        <w:t>377,2</w:t>
      </w:r>
      <w:r w:rsidRPr="00C501E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501E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C501E5">
        <w:rPr>
          <w:rFonts w:ascii="Times New Roman" w:hAnsi="Times New Roman"/>
          <w:color w:val="000000"/>
          <w:sz w:val="28"/>
          <w:szCs w:val="28"/>
        </w:rPr>
        <w:t>.,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або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194,7%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до</w:t>
      </w:r>
      <w:r>
        <w:rPr>
          <w:rFonts w:ascii="Times New Roman" w:hAnsi="Times New Roman"/>
          <w:color w:val="000000"/>
          <w:sz w:val="28"/>
          <w:szCs w:val="28"/>
        </w:rPr>
        <w:t xml:space="preserve"> уточненого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плану. Основні надходження забезпечили:</w:t>
      </w:r>
    </w:p>
    <w:p w:rsidR="00413DC1" w:rsidRPr="006B74C1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74C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>інш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і надходження (</w:t>
      </w:r>
      <w:r w:rsidRPr="00A45008">
        <w:rPr>
          <w:rFonts w:ascii="Times New Roman" w:hAnsi="Times New Roman"/>
          <w:bCs/>
          <w:color w:val="000000"/>
          <w:sz w:val="28"/>
          <w:szCs w:val="28"/>
        </w:rPr>
        <w:t>адміністративні штрафи</w:t>
      </w:r>
      <w:r>
        <w:rPr>
          <w:rFonts w:ascii="Times New Roman" w:hAnsi="Times New Roman"/>
          <w:bCs/>
          <w:color w:val="000000"/>
          <w:sz w:val="28"/>
          <w:szCs w:val="28"/>
        </w:rPr>
        <w:t>, с</w:t>
      </w:r>
      <w:r w:rsidRPr="00A45008">
        <w:rPr>
          <w:rFonts w:ascii="Times New Roman" w:hAnsi="Times New Roman"/>
          <w:bCs/>
          <w:color w:val="000000"/>
          <w:sz w:val="28"/>
          <w:szCs w:val="28"/>
        </w:rPr>
        <w:t>анкції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) </w:t>
      </w:r>
      <w:r w:rsidR="00DB1A74">
        <w:rPr>
          <w:rFonts w:ascii="Times New Roman" w:hAnsi="Times New Roman"/>
          <w:bCs/>
          <w:color w:val="000000"/>
          <w:sz w:val="28"/>
          <w:szCs w:val="28"/>
        </w:rPr>
        <w:t xml:space="preserve">становлять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127,9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що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b/>
          <w:color w:val="000000"/>
          <w:sz w:val="28"/>
          <w:szCs w:val="28"/>
        </w:rPr>
        <w:t>124,5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/>
          <w:color w:val="000000"/>
          <w:sz w:val="28"/>
          <w:szCs w:val="28"/>
        </w:rPr>
        <w:t xml:space="preserve">. більше від </w:t>
      </w:r>
      <w:r>
        <w:rPr>
          <w:rFonts w:ascii="Times New Roman" w:hAnsi="Times New Roman"/>
          <w:color w:val="000000"/>
          <w:sz w:val="28"/>
          <w:szCs w:val="28"/>
        </w:rPr>
        <w:t>плану</w:t>
      </w:r>
      <w:r w:rsidRPr="006B74C1">
        <w:rPr>
          <w:rFonts w:ascii="Times New Roman" w:hAnsi="Times New Roman"/>
          <w:color w:val="000000"/>
          <w:sz w:val="28"/>
          <w:szCs w:val="28"/>
        </w:rPr>
        <w:t>;</w:t>
      </w:r>
    </w:p>
    <w:p w:rsidR="00413DC1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74C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адміністративний збір за проведення державної реєстрації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юридичних осіб, фізичних осіб – підприємців та громадських формувань – </w:t>
      </w:r>
      <w:r>
        <w:rPr>
          <w:rFonts w:ascii="Times New Roman" w:hAnsi="Times New Roman"/>
          <w:color w:val="000000"/>
          <w:sz w:val="28"/>
          <w:szCs w:val="28"/>
        </w:rPr>
        <w:t>13,2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/>
          <w:color w:val="000000"/>
          <w:sz w:val="28"/>
          <w:szCs w:val="28"/>
        </w:rPr>
        <w:t xml:space="preserve">., що становить </w:t>
      </w:r>
      <w:r>
        <w:rPr>
          <w:rFonts w:ascii="Times New Roman" w:hAnsi="Times New Roman"/>
          <w:color w:val="000000"/>
          <w:sz w:val="28"/>
          <w:szCs w:val="28"/>
        </w:rPr>
        <w:t>176,3 %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до планового завдання </w:t>
      </w:r>
      <w:r w:rsidR="00DB1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(на </w:t>
      </w:r>
      <w:r>
        <w:rPr>
          <w:rFonts w:ascii="Times New Roman" w:hAnsi="Times New Roman"/>
          <w:color w:val="000000"/>
          <w:sz w:val="28"/>
          <w:szCs w:val="28"/>
        </w:rPr>
        <w:t>4,9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більше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від минулого року);</w:t>
      </w:r>
    </w:p>
    <w:p w:rsidR="00413DC1" w:rsidRPr="00527369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27369">
        <w:rPr>
          <w:rFonts w:ascii="Times New Roman" w:hAnsi="Times New Roman"/>
          <w:b/>
          <w:color w:val="000000"/>
          <w:sz w:val="28"/>
          <w:szCs w:val="28"/>
        </w:rPr>
        <w:t>плата за надання інших адміністративних послуг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27369">
        <w:rPr>
          <w:rFonts w:ascii="Times New Roman" w:hAnsi="Times New Roman"/>
          <w:color w:val="000000"/>
          <w:sz w:val="28"/>
          <w:szCs w:val="28"/>
        </w:rPr>
        <w:t xml:space="preserve">при плані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DB1A7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139,6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надходження складають 132,0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., або 94,6%;</w:t>
      </w:r>
    </w:p>
    <w:p w:rsidR="00413DC1" w:rsidRPr="006B74C1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74C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адміністративний збір за державну реєстрацію речових прав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на нерухоме майно та їх обтяжень – </w:t>
      </w:r>
      <w:r>
        <w:rPr>
          <w:rFonts w:ascii="Times New Roman" w:hAnsi="Times New Roman"/>
          <w:color w:val="000000"/>
          <w:sz w:val="28"/>
          <w:szCs w:val="28"/>
        </w:rPr>
        <w:t>81,3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тис. грн., що </w:t>
      </w:r>
      <w:r>
        <w:rPr>
          <w:rFonts w:ascii="Times New Roman" w:hAnsi="Times New Roman"/>
          <w:color w:val="000000"/>
          <w:sz w:val="28"/>
          <w:szCs w:val="28"/>
        </w:rPr>
        <w:t>становить 192,7% до плану,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у порівнянні з відповідним періодом минулого року надходження </w:t>
      </w:r>
      <w:r>
        <w:rPr>
          <w:rFonts w:ascii="Times New Roman" w:hAnsi="Times New Roman"/>
          <w:color w:val="000000"/>
          <w:sz w:val="28"/>
          <w:szCs w:val="28"/>
        </w:rPr>
        <w:t>збільшились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b/>
          <w:color w:val="000000"/>
          <w:sz w:val="28"/>
          <w:szCs w:val="28"/>
        </w:rPr>
        <w:t>15,0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, або на </w:t>
      </w:r>
      <w:r>
        <w:rPr>
          <w:rFonts w:ascii="Times New Roman" w:hAnsi="Times New Roman"/>
          <w:b/>
          <w:color w:val="000000"/>
          <w:sz w:val="28"/>
          <w:szCs w:val="28"/>
        </w:rPr>
        <w:t>22,6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6B74C1">
        <w:rPr>
          <w:rFonts w:ascii="Times New Roman" w:hAnsi="Times New Roman"/>
          <w:color w:val="000000"/>
          <w:sz w:val="28"/>
          <w:szCs w:val="28"/>
        </w:rPr>
        <w:t>);</w:t>
      </w:r>
    </w:p>
    <w:p w:rsidR="00413DC1" w:rsidRPr="006B74C1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74C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державне мито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22,4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тис. грн. В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порівн</w:t>
      </w:r>
      <w:r>
        <w:rPr>
          <w:rFonts w:ascii="Times New Roman" w:hAnsi="Times New Roman"/>
          <w:color w:val="000000"/>
          <w:sz w:val="28"/>
          <w:szCs w:val="28"/>
        </w:rPr>
        <w:t>янні з аналогічним періодом 2019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року надходження зросли на</w:t>
      </w:r>
      <w:r w:rsidR="00DB1A74">
        <w:rPr>
          <w:rFonts w:ascii="Times New Roman" w:hAnsi="Times New Roman"/>
          <w:color w:val="000000"/>
          <w:sz w:val="28"/>
          <w:szCs w:val="28"/>
        </w:rPr>
        <w:t xml:space="preserve"> 1,8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B74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6B74C1">
        <w:rPr>
          <w:rFonts w:ascii="Times New Roman" w:hAnsi="Times New Roman"/>
          <w:color w:val="000000"/>
          <w:sz w:val="28"/>
          <w:szCs w:val="28"/>
        </w:rPr>
        <w:t xml:space="preserve">., або на </w:t>
      </w:r>
      <w:r w:rsidR="00DB1A74">
        <w:rPr>
          <w:rFonts w:ascii="Times New Roman" w:hAnsi="Times New Roman"/>
          <w:color w:val="000000"/>
          <w:sz w:val="28"/>
          <w:szCs w:val="28"/>
        </w:rPr>
        <w:t>8,6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Pr="006B74C1">
        <w:rPr>
          <w:rFonts w:ascii="Times New Roman" w:hAnsi="Times New Roman"/>
          <w:color w:val="000000"/>
          <w:sz w:val="28"/>
          <w:szCs w:val="28"/>
        </w:rPr>
        <w:t>;</w:t>
      </w:r>
    </w:p>
    <w:p w:rsidR="00413DC1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74C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74C1">
        <w:rPr>
          <w:rFonts w:ascii="Times New Roman" w:hAnsi="Times New Roman"/>
          <w:b/>
          <w:bCs/>
          <w:color w:val="000000"/>
          <w:sz w:val="28"/>
          <w:szCs w:val="28"/>
        </w:rPr>
        <w:t xml:space="preserve">інші надходження </w:t>
      </w:r>
      <w:r w:rsidRPr="00C41ED6">
        <w:rPr>
          <w:rFonts w:ascii="Times New Roman" w:hAnsi="Times New Roman"/>
          <w:color w:val="000000"/>
          <w:sz w:val="28"/>
          <w:szCs w:val="28"/>
        </w:rPr>
        <w:t>, а саме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плата </w:t>
      </w:r>
      <w:r w:rsidRPr="006B74C1">
        <w:rPr>
          <w:rFonts w:ascii="Times New Roman" w:hAnsi="Times New Roman"/>
          <w:color w:val="000000"/>
          <w:sz w:val="28"/>
          <w:szCs w:val="28"/>
        </w:rPr>
        <w:t>за розміщення об’єктів зовнішньої реклами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B74C1"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0,3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413DC1" w:rsidP="003125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3F461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  <w:r w:rsidRPr="000C7F73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>Офіційні трансферти</w:t>
      </w:r>
      <w:r w:rsidRPr="003F4615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 xml:space="preserve"> загального фонду</w:t>
      </w:r>
    </w:p>
    <w:p w:rsidR="00413DC1" w:rsidRDefault="00413DC1" w:rsidP="003F461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 xml:space="preserve">За </w:t>
      </w:r>
      <w:proofErr w:type="spellStart"/>
      <w:r>
        <w:rPr>
          <w:rFonts w:ascii="TimesNewRomanPSMT" w:hAnsi="TimesNewRomanPSMT"/>
          <w:sz w:val="28"/>
          <w:szCs w:val="28"/>
        </w:rPr>
        <w:t>за</w:t>
      </w:r>
      <w:proofErr w:type="spellEnd"/>
      <w:r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 квартал 2020</w:t>
      </w:r>
      <w:r w:rsidRPr="000D64A2">
        <w:rPr>
          <w:rFonts w:ascii="TimesNewRomanPSMT" w:hAnsi="TimesNewRomanPSMT"/>
          <w:sz w:val="28"/>
          <w:szCs w:val="28"/>
        </w:rPr>
        <w:t xml:space="preserve"> року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до загального фонду  бюджету </w:t>
      </w:r>
      <w:r>
        <w:rPr>
          <w:rFonts w:ascii="Times New Roman" w:hAnsi="Times New Roman"/>
          <w:color w:val="000000"/>
          <w:sz w:val="28"/>
          <w:szCs w:val="28"/>
        </w:rPr>
        <w:t xml:space="preserve">громади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надійшло </w:t>
      </w:r>
      <w:r w:rsidRPr="003F4615">
        <w:rPr>
          <w:rFonts w:ascii="Times New Roman" w:hAnsi="Times New Roman"/>
          <w:b/>
          <w:bCs/>
          <w:color w:val="000000"/>
          <w:sz w:val="28"/>
          <w:szCs w:val="28"/>
        </w:rPr>
        <w:t>офіційних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трансфертів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на загальну суму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13071,0 </w:t>
      </w:r>
      <w:r w:rsidRPr="003F461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3F4615">
        <w:rPr>
          <w:rFonts w:ascii="Times New Roman" w:hAnsi="Times New Roman"/>
          <w:color w:val="000000"/>
          <w:sz w:val="28"/>
          <w:szCs w:val="28"/>
        </w:rPr>
        <w:t>тому числі</w:t>
      </w:r>
      <w:r>
        <w:rPr>
          <w:rFonts w:ascii="Times New Roman" w:hAnsi="Times New Roman"/>
          <w:color w:val="000000"/>
          <w:sz w:val="28"/>
          <w:szCs w:val="28"/>
        </w:rPr>
        <w:t xml:space="preserve">:  </w:t>
      </w:r>
      <w:r w:rsidRPr="003C1F35">
        <w:rPr>
          <w:rFonts w:ascii="Times New Roman" w:hAnsi="Times New Roman"/>
          <w:b/>
          <w:color w:val="000000"/>
          <w:sz w:val="28"/>
          <w:szCs w:val="28"/>
        </w:rPr>
        <w:t>дотацій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 сумі </w:t>
      </w:r>
      <w:r>
        <w:rPr>
          <w:rFonts w:ascii="Times New Roman" w:hAnsi="Times New Roman"/>
          <w:b/>
          <w:color w:val="000000"/>
          <w:sz w:val="28"/>
          <w:szCs w:val="28"/>
        </w:rPr>
        <w:t>984,9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 </w:t>
      </w:r>
      <w:r w:rsidRPr="00024F11">
        <w:rPr>
          <w:rFonts w:ascii="Times New Roman" w:hAnsi="Times New Roman"/>
          <w:b/>
          <w:color w:val="000000"/>
          <w:sz w:val="28"/>
          <w:szCs w:val="28"/>
        </w:rPr>
        <w:t>субвенцій з державного бюджету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у сумі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11566,8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3F4615">
        <w:rPr>
          <w:rFonts w:ascii="Times New Roman" w:hAnsi="Times New Roman"/>
          <w:color w:val="000000"/>
          <w:sz w:val="28"/>
          <w:szCs w:val="28"/>
        </w:rPr>
        <w:t>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>.,</w:t>
      </w:r>
      <w:r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 тому числі: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 xml:space="preserve">- освітня субвенція з державного бюджету – </w:t>
      </w:r>
      <w:r>
        <w:rPr>
          <w:rFonts w:ascii="Times New Roman" w:hAnsi="Times New Roman"/>
          <w:color w:val="000000"/>
          <w:sz w:val="28"/>
          <w:szCs w:val="28"/>
        </w:rPr>
        <w:t xml:space="preserve">8099,3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>., або 100</w:t>
      </w:r>
      <w:r>
        <w:rPr>
          <w:rFonts w:ascii="Times New Roman" w:hAnsi="Times New Roman"/>
          <w:color w:val="000000"/>
          <w:sz w:val="28"/>
          <w:szCs w:val="28"/>
        </w:rPr>
        <w:t>%;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3DC1" w:rsidRDefault="00413DC1" w:rsidP="00024F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 xml:space="preserve">- медична субвенція з державного бюджету – </w:t>
      </w:r>
      <w:r>
        <w:rPr>
          <w:rFonts w:ascii="Times New Roman" w:hAnsi="Times New Roman"/>
          <w:color w:val="000000"/>
          <w:sz w:val="28"/>
          <w:szCs w:val="28"/>
        </w:rPr>
        <w:t>3467,5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</w:t>
      </w:r>
      <w:r>
        <w:rPr>
          <w:rFonts w:ascii="Times New Roman" w:hAnsi="Times New Roman"/>
          <w:color w:val="000000"/>
          <w:sz w:val="28"/>
          <w:szCs w:val="28"/>
        </w:rPr>
        <w:t>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або 100%, </w:t>
      </w:r>
      <w:r w:rsidRPr="00024F11">
        <w:rPr>
          <w:rFonts w:ascii="Times New Roman" w:hAnsi="Times New Roman"/>
          <w:b/>
          <w:color w:val="000000"/>
          <w:sz w:val="28"/>
          <w:szCs w:val="28"/>
        </w:rPr>
        <w:t>субвенцій з місцевого бюджету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C1F35">
        <w:rPr>
          <w:rFonts w:ascii="Times New Roman" w:hAnsi="Times New Roman"/>
          <w:color w:val="000000"/>
          <w:sz w:val="28"/>
          <w:szCs w:val="28"/>
        </w:rPr>
        <w:t>у сумі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519,3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., у тому числі:</w:t>
      </w:r>
    </w:p>
    <w:p w:rsidR="00413DC1" w:rsidRPr="003F4615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>- субвенція з місцевого бюджету на надання державної підтримки особам з особливими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освітніми потребами за рахунок відповідної субвенції з державного бюджету – </w:t>
      </w:r>
      <w:r>
        <w:rPr>
          <w:rFonts w:ascii="Times New Roman" w:hAnsi="Times New Roman"/>
          <w:color w:val="000000"/>
          <w:sz w:val="28"/>
          <w:szCs w:val="28"/>
        </w:rPr>
        <w:t>100,4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>.,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або </w:t>
      </w:r>
      <w:r>
        <w:rPr>
          <w:rFonts w:ascii="Times New Roman" w:hAnsi="Times New Roman"/>
          <w:color w:val="000000"/>
          <w:sz w:val="28"/>
          <w:szCs w:val="28"/>
        </w:rPr>
        <w:t>100%;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с</w:t>
      </w:r>
      <w:r w:rsidRPr="00CA5C9A">
        <w:rPr>
          <w:rFonts w:ascii="Times New Roman" w:hAnsi="Times New Roman"/>
          <w:color w:val="000000"/>
          <w:sz w:val="28"/>
          <w:szCs w:val="28"/>
        </w:rPr>
        <w:t>убвенція з місцевого бюджету на здійснення переданих видатків у сфері освіти за рахунок коштів освітньої субвенції</w:t>
      </w:r>
      <w:r>
        <w:rPr>
          <w:rFonts w:ascii="Times New Roman" w:hAnsi="Times New Roman"/>
          <w:color w:val="000000"/>
          <w:sz w:val="28"/>
          <w:szCs w:val="28"/>
        </w:rPr>
        <w:t xml:space="preserve"> – 204,2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.;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 xml:space="preserve">- інші субвенції з місцевого бюджету – </w:t>
      </w:r>
      <w:r>
        <w:rPr>
          <w:rFonts w:ascii="Times New Roman" w:hAnsi="Times New Roman"/>
          <w:color w:val="000000"/>
          <w:sz w:val="28"/>
          <w:szCs w:val="28"/>
        </w:rPr>
        <w:t xml:space="preserve">214,7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>
        <w:rPr>
          <w:rFonts w:ascii="Times New Roman" w:hAnsi="Times New Roman"/>
          <w:color w:val="000000"/>
          <w:sz w:val="28"/>
          <w:szCs w:val="28"/>
        </w:rPr>
        <w:t>81,0%.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875BA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</w:p>
    <w:p w:rsidR="00413DC1" w:rsidRDefault="00413DC1" w:rsidP="00875BA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</w:p>
    <w:p w:rsidR="00413DC1" w:rsidRPr="0049137A" w:rsidRDefault="00413DC1" w:rsidP="00875BA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  <w:r w:rsidRPr="00906F74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>Спеціальний фонд</w:t>
      </w:r>
    </w:p>
    <w:p w:rsidR="00413DC1" w:rsidRDefault="00413DC1" w:rsidP="00875BAD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color w:val="000000"/>
          <w:sz w:val="28"/>
          <w:szCs w:val="28"/>
          <w:u w:val="single"/>
        </w:rPr>
      </w:pPr>
    </w:p>
    <w:p w:rsidR="00413DC1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Надходження по спеціальному фонду за </w:t>
      </w:r>
      <w:r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 квартал 2020</w:t>
      </w:r>
      <w:r w:rsidRPr="000D64A2">
        <w:rPr>
          <w:rFonts w:ascii="TimesNewRomanPSMT" w:hAnsi="TimesNewRomanPSMT"/>
          <w:sz w:val="28"/>
          <w:szCs w:val="28"/>
        </w:rPr>
        <w:t xml:space="preserve"> року </w:t>
      </w:r>
      <w:r>
        <w:rPr>
          <w:rFonts w:ascii="Times New Roman" w:hAnsi="Times New Roman"/>
          <w:color w:val="000000"/>
          <w:sz w:val="28"/>
          <w:szCs w:val="28"/>
        </w:rPr>
        <w:t xml:space="preserve">складають </w:t>
      </w:r>
      <w:r w:rsidR="00DB1A74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2719,8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при плані – </w:t>
      </w:r>
      <w:r>
        <w:rPr>
          <w:rFonts w:ascii="Times New Roman" w:hAnsi="Times New Roman"/>
          <w:b/>
          <w:color w:val="000000"/>
          <w:sz w:val="28"/>
          <w:szCs w:val="28"/>
        </w:rPr>
        <w:t>952,6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875BAD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5BA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Природоохоронний фонд </w:t>
      </w:r>
      <w:r>
        <w:rPr>
          <w:rFonts w:ascii="Times New Roman" w:hAnsi="Times New Roman"/>
          <w:color w:val="000000"/>
          <w:sz w:val="28"/>
          <w:szCs w:val="28"/>
        </w:rPr>
        <w:t>складає 18,9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50DF">
        <w:rPr>
          <w:rFonts w:ascii="Times New Roman" w:hAnsi="Times New Roman"/>
          <w:sz w:val="28"/>
          <w:szCs w:val="28"/>
        </w:rPr>
        <w:t>тис. грн.,</w:t>
      </w:r>
      <w:r w:rsidRPr="00875BAD">
        <w:rPr>
          <w:rFonts w:ascii="Times New Roman" w:hAnsi="Times New Roman"/>
          <w:color w:val="000000"/>
          <w:sz w:val="28"/>
          <w:szCs w:val="28"/>
        </w:rPr>
        <w:t>), а саме:</w:t>
      </w:r>
    </w:p>
    <w:p w:rsidR="00413DC1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5BAD">
        <w:rPr>
          <w:rFonts w:ascii="Times New Roman" w:hAnsi="Times New Roman"/>
          <w:color w:val="000000"/>
          <w:sz w:val="28"/>
          <w:szCs w:val="28"/>
        </w:rPr>
        <w:t xml:space="preserve">- екологічного податку надійшло </w:t>
      </w:r>
      <w:r>
        <w:rPr>
          <w:rFonts w:ascii="Times New Roman" w:hAnsi="Times New Roman"/>
          <w:color w:val="000000"/>
          <w:sz w:val="28"/>
          <w:szCs w:val="28"/>
        </w:rPr>
        <w:t>17,7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75BAD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>
        <w:rPr>
          <w:rFonts w:ascii="Times New Roman" w:hAnsi="Times New Roman"/>
          <w:color w:val="000000"/>
          <w:sz w:val="28"/>
          <w:szCs w:val="28"/>
        </w:rPr>
        <w:t>148,8%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виконання плану, до відповідного періоду минулого року</w:t>
      </w:r>
      <w:r>
        <w:rPr>
          <w:rFonts w:ascii="Times New Roman" w:hAnsi="Times New Roman"/>
          <w:color w:val="000000"/>
          <w:sz w:val="28"/>
          <w:szCs w:val="28"/>
        </w:rPr>
        <w:t xml:space="preserve"> надходження збільшились 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/>
          <w:color w:val="000000"/>
          <w:sz w:val="28"/>
          <w:szCs w:val="28"/>
        </w:rPr>
        <w:t xml:space="preserve"> 5,7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75BAD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, або на 47,5%</w:t>
      </w:r>
      <w:r w:rsidRPr="00875BAD">
        <w:rPr>
          <w:rFonts w:ascii="Times New Roman" w:hAnsi="Times New Roman"/>
          <w:color w:val="000000"/>
          <w:sz w:val="28"/>
          <w:szCs w:val="28"/>
        </w:rPr>
        <w:t>;</w:t>
      </w:r>
    </w:p>
    <w:p w:rsidR="00413DC1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5BAD">
        <w:rPr>
          <w:rFonts w:ascii="Times New Roman" w:hAnsi="Times New Roman"/>
          <w:color w:val="000000"/>
          <w:sz w:val="28"/>
          <w:szCs w:val="28"/>
        </w:rPr>
        <w:t xml:space="preserve">- грошових стягнень за шкоду, заподіяну порушенням законодавства про охорону навколишнього природного середовища внаслідок господарської та іншої діяльності надійшло </w:t>
      </w:r>
      <w:r>
        <w:rPr>
          <w:rFonts w:ascii="Times New Roman" w:hAnsi="Times New Roman"/>
          <w:color w:val="000000"/>
          <w:sz w:val="28"/>
          <w:szCs w:val="28"/>
        </w:rPr>
        <w:t xml:space="preserve">1,2 </w:t>
      </w:r>
      <w:proofErr w:type="spellStart"/>
      <w:r w:rsidRPr="00875BAD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875BAD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777397" w:rsidRDefault="00DB1A74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="00413DC1" w:rsidRPr="00777397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413DC1">
        <w:rPr>
          <w:rFonts w:ascii="Times New Roman" w:hAnsi="Times New Roman"/>
          <w:color w:val="000000"/>
          <w:sz w:val="28"/>
          <w:szCs w:val="28"/>
        </w:rPr>
        <w:t>І квартал 2020 року н</w:t>
      </w:r>
      <w:r w:rsidR="00413DC1" w:rsidRPr="00A83B8D">
        <w:rPr>
          <w:rFonts w:ascii="Times New Roman" w:hAnsi="Times New Roman"/>
          <w:color w:val="000000"/>
          <w:sz w:val="28"/>
          <w:szCs w:val="28"/>
        </w:rPr>
        <w:t>адходження коштів від відшкодування втрат сільськогосподарського і лісогосподарського виробництва</w:t>
      </w:r>
      <w:r w:rsidR="00413D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складають</w:t>
      </w:r>
      <w:r w:rsidR="00413DC1">
        <w:rPr>
          <w:rFonts w:ascii="Times New Roman" w:hAnsi="Times New Roman"/>
          <w:color w:val="000000"/>
          <w:sz w:val="28"/>
          <w:szCs w:val="28"/>
        </w:rPr>
        <w:t xml:space="preserve"> 94,4 </w:t>
      </w:r>
      <w:proofErr w:type="spellStart"/>
      <w:r w:rsidR="00413D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875BAD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5BAD">
        <w:rPr>
          <w:rFonts w:ascii="Times New Roman" w:hAnsi="Times New Roman"/>
          <w:b/>
          <w:bCs/>
          <w:color w:val="000000"/>
          <w:sz w:val="28"/>
          <w:szCs w:val="28"/>
        </w:rPr>
        <w:t xml:space="preserve">Власні надходженнях бюджетних установ 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становлять </w:t>
      </w:r>
      <w:r>
        <w:rPr>
          <w:rFonts w:ascii="Times New Roman" w:hAnsi="Times New Roman"/>
          <w:color w:val="000000"/>
          <w:sz w:val="28"/>
          <w:szCs w:val="28"/>
        </w:rPr>
        <w:t xml:space="preserve">2606,5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проти відповідного періоду минулого року надходження </w:t>
      </w:r>
      <w:r>
        <w:rPr>
          <w:rFonts w:ascii="Times New Roman" w:hAnsi="Times New Roman"/>
          <w:color w:val="000000"/>
          <w:sz w:val="28"/>
          <w:szCs w:val="28"/>
        </w:rPr>
        <w:t>збільшились</w:t>
      </w:r>
      <w:r w:rsidRPr="00875BAD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 xml:space="preserve"> 1786,3тис.грн.</w:t>
      </w:r>
    </w:p>
    <w:p w:rsidR="00413DC1" w:rsidRDefault="00413DC1" w:rsidP="0074065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13DC1" w:rsidRDefault="00413DC1" w:rsidP="0074065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13DC1" w:rsidRDefault="00413DC1" w:rsidP="0074065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highlight w:val="yellow"/>
        </w:rPr>
      </w:pPr>
    </w:p>
    <w:p w:rsidR="00E44027" w:rsidRDefault="00413DC1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</w:t>
      </w:r>
      <w:r w:rsidR="00930C35">
        <w:rPr>
          <w:rFonts w:ascii="Times New Roman" w:hAnsi="Times New Roman"/>
          <w:b/>
          <w:sz w:val="28"/>
          <w:szCs w:val="28"/>
          <w:lang w:eastAsia="ar-SA"/>
        </w:rPr>
        <w:t xml:space="preserve">           </w:t>
      </w: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E44027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413DC1" w:rsidRPr="00F63B81" w:rsidRDefault="00E44027" w:rsidP="00856EFF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lastRenderedPageBreak/>
        <w:t xml:space="preserve">                               </w:t>
      </w:r>
      <w:r w:rsidR="00930C3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413DC1" w:rsidRPr="00F63B81">
        <w:rPr>
          <w:rFonts w:ascii="Times New Roman" w:hAnsi="Times New Roman"/>
          <w:b/>
          <w:sz w:val="28"/>
          <w:szCs w:val="28"/>
          <w:lang w:eastAsia="ar-SA"/>
        </w:rPr>
        <w:t>ВИКОНАННЯ ВИДАТКІВ</w:t>
      </w:r>
    </w:p>
    <w:p w:rsidR="00413DC1" w:rsidRPr="00F63B81" w:rsidRDefault="00413DC1" w:rsidP="00856EF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413DC1" w:rsidRPr="00F63B81" w:rsidRDefault="00413DC1" w:rsidP="00856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B81">
        <w:rPr>
          <w:rFonts w:ascii="Times New Roman" w:hAnsi="Times New Roman"/>
          <w:sz w:val="28"/>
          <w:szCs w:val="28"/>
          <w:lang w:eastAsia="ru-RU"/>
        </w:rPr>
        <w:t xml:space="preserve">Відповідно до статті 78 Бюджетного кодексу України видатки бюджету громади за </w:t>
      </w:r>
      <w:r w:rsidR="00913E34">
        <w:rPr>
          <w:rFonts w:ascii="Times New Roman" w:hAnsi="Times New Roman"/>
          <w:sz w:val="28"/>
          <w:szCs w:val="28"/>
          <w:lang w:eastAsia="ru-RU"/>
        </w:rPr>
        <w:t>1 квартал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913E34">
        <w:rPr>
          <w:rFonts w:ascii="Times New Roman" w:hAnsi="Times New Roman"/>
          <w:sz w:val="28"/>
          <w:szCs w:val="28"/>
          <w:lang w:eastAsia="ru-RU"/>
        </w:rPr>
        <w:t>20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року проводились відповідно до помісячного розпису бюджету, згідно встановлених бюджетних призначень головним розпорядникам бюджетних коштів, затверджених рішенням </w:t>
      </w:r>
      <w:proofErr w:type="spellStart"/>
      <w:r w:rsidRPr="00F63B81">
        <w:rPr>
          <w:rFonts w:ascii="Times New Roman" w:hAnsi="Times New Roman"/>
          <w:sz w:val="28"/>
          <w:szCs w:val="28"/>
          <w:lang w:eastAsia="ru-RU"/>
        </w:rPr>
        <w:t>Новоукраїнської</w:t>
      </w:r>
      <w:proofErr w:type="spellEnd"/>
      <w:r w:rsidRPr="00F63B81">
        <w:rPr>
          <w:rFonts w:ascii="Times New Roman" w:hAnsi="Times New Roman"/>
          <w:sz w:val="28"/>
          <w:szCs w:val="28"/>
          <w:lang w:eastAsia="ru-RU"/>
        </w:rPr>
        <w:t xml:space="preserve"> міської ради від </w:t>
      </w:r>
      <w:r w:rsidR="00913E34">
        <w:rPr>
          <w:rFonts w:ascii="Times New Roman" w:hAnsi="Times New Roman"/>
          <w:sz w:val="28"/>
          <w:szCs w:val="28"/>
          <w:lang w:eastAsia="ru-RU"/>
        </w:rPr>
        <w:t>20</w:t>
      </w:r>
      <w:r w:rsidRPr="00F63B81">
        <w:rPr>
          <w:rFonts w:ascii="Times New Roman" w:hAnsi="Times New Roman"/>
          <w:sz w:val="28"/>
          <w:szCs w:val="28"/>
          <w:lang w:eastAsia="ru-RU"/>
        </w:rPr>
        <w:t>.12.201</w:t>
      </w:r>
      <w:r w:rsidR="00913E34">
        <w:rPr>
          <w:rFonts w:ascii="Times New Roman" w:hAnsi="Times New Roman"/>
          <w:sz w:val="28"/>
          <w:szCs w:val="28"/>
          <w:lang w:eastAsia="ru-RU"/>
        </w:rPr>
        <w:t>9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року №1</w:t>
      </w:r>
      <w:r w:rsidR="0013250D">
        <w:rPr>
          <w:rFonts w:ascii="Times New Roman" w:hAnsi="Times New Roman"/>
          <w:sz w:val="28"/>
          <w:szCs w:val="28"/>
          <w:lang w:eastAsia="ru-RU"/>
        </w:rPr>
        <w:t>5</w:t>
      </w:r>
      <w:r w:rsidRPr="00F63B81">
        <w:rPr>
          <w:rFonts w:ascii="Times New Roman" w:hAnsi="Times New Roman"/>
          <w:sz w:val="28"/>
          <w:szCs w:val="28"/>
          <w:lang w:eastAsia="ru-RU"/>
        </w:rPr>
        <w:t>3</w:t>
      </w:r>
      <w:r w:rsidR="00913E34">
        <w:rPr>
          <w:rFonts w:ascii="Times New Roman" w:hAnsi="Times New Roman"/>
          <w:sz w:val="28"/>
          <w:szCs w:val="28"/>
          <w:lang w:eastAsia="ru-RU"/>
        </w:rPr>
        <w:t>8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"Про  бюджет </w:t>
      </w:r>
      <w:proofErr w:type="spellStart"/>
      <w:r w:rsidRPr="00F63B81">
        <w:rPr>
          <w:rFonts w:ascii="Times New Roman" w:hAnsi="Times New Roman"/>
          <w:sz w:val="28"/>
          <w:szCs w:val="28"/>
          <w:lang w:eastAsia="ru-RU"/>
        </w:rPr>
        <w:t>Новоукраїнської</w:t>
      </w:r>
      <w:proofErr w:type="spellEnd"/>
      <w:r w:rsidRPr="00F63B81">
        <w:rPr>
          <w:rFonts w:ascii="Times New Roman" w:hAnsi="Times New Roman"/>
          <w:sz w:val="28"/>
          <w:szCs w:val="28"/>
          <w:lang w:eastAsia="ru-RU"/>
        </w:rPr>
        <w:t xml:space="preserve"> міської об"</w:t>
      </w:r>
      <w:proofErr w:type="spellStart"/>
      <w:r w:rsidRPr="00F63B81">
        <w:rPr>
          <w:rFonts w:ascii="Times New Roman" w:hAnsi="Times New Roman"/>
          <w:sz w:val="28"/>
          <w:szCs w:val="28"/>
          <w:lang w:eastAsia="ru-RU"/>
        </w:rPr>
        <w:t>єднаної</w:t>
      </w:r>
      <w:proofErr w:type="spellEnd"/>
      <w:r w:rsidRPr="00F63B81">
        <w:rPr>
          <w:rFonts w:ascii="Times New Roman" w:hAnsi="Times New Roman"/>
          <w:sz w:val="28"/>
          <w:szCs w:val="28"/>
          <w:lang w:eastAsia="ru-RU"/>
        </w:rPr>
        <w:t xml:space="preserve"> територіальної громади на 20</w:t>
      </w:r>
      <w:r w:rsidR="0013250D">
        <w:rPr>
          <w:rFonts w:ascii="Times New Roman" w:hAnsi="Times New Roman"/>
          <w:sz w:val="28"/>
          <w:szCs w:val="28"/>
          <w:lang w:eastAsia="ru-RU"/>
        </w:rPr>
        <w:t>20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рік" (зі змінами).</w:t>
      </w:r>
    </w:p>
    <w:p w:rsidR="00413DC1" w:rsidRPr="00590556" w:rsidRDefault="00413DC1" w:rsidP="00856EF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F63B81">
        <w:rPr>
          <w:rFonts w:ascii="Times New Roman" w:hAnsi="Times New Roman"/>
          <w:sz w:val="28"/>
          <w:szCs w:val="28"/>
          <w:lang w:eastAsia="ar-SA"/>
        </w:rPr>
        <w:t>Видаткова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63B81">
        <w:rPr>
          <w:rFonts w:ascii="Times New Roman" w:hAnsi="Times New Roman"/>
          <w:sz w:val="28"/>
          <w:szCs w:val="28"/>
          <w:lang w:eastAsia="ar-SA"/>
        </w:rPr>
        <w:t>частина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загального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фонду </w:t>
      </w:r>
      <w:r w:rsidRPr="00F63B81">
        <w:rPr>
          <w:rFonts w:ascii="Times New Roman" w:hAnsi="Times New Roman"/>
          <w:sz w:val="28"/>
          <w:szCs w:val="28"/>
          <w:lang w:eastAsia="ar-SA"/>
        </w:rPr>
        <w:t>бюджету громади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за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3250D">
        <w:rPr>
          <w:rFonts w:ascii="Times New Roman" w:hAnsi="Times New Roman"/>
          <w:sz w:val="28"/>
          <w:szCs w:val="28"/>
          <w:lang w:eastAsia="ar-SA"/>
        </w:rPr>
        <w:t>1 квартал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20</w:t>
      </w:r>
      <w:r w:rsidR="0013250D">
        <w:rPr>
          <w:rFonts w:ascii="Times New Roman" w:hAnsi="Times New Roman"/>
          <w:sz w:val="28"/>
          <w:szCs w:val="28"/>
          <w:lang w:eastAsia="ar-SA"/>
        </w:rPr>
        <w:t>20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року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виконана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63B81">
        <w:rPr>
          <w:rFonts w:ascii="Times New Roman" w:hAnsi="Times New Roman"/>
          <w:sz w:val="28"/>
          <w:szCs w:val="28"/>
          <w:lang w:eastAsia="ar-SA"/>
        </w:rPr>
        <w:t>у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сумі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 </w:t>
      </w:r>
      <w:r w:rsidR="0013250D">
        <w:rPr>
          <w:rFonts w:ascii="Times New Roman" w:hAnsi="Times New Roman"/>
          <w:sz w:val="28"/>
          <w:szCs w:val="28"/>
          <w:lang w:val="ru-RU" w:eastAsia="ar-SA"/>
        </w:rPr>
        <w:t>33959,2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>тис.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>грн. при уточнен</w:t>
      </w:r>
      <w:r w:rsidRPr="00F63B81">
        <w:rPr>
          <w:rFonts w:ascii="Times New Roman" w:hAnsi="Times New Roman"/>
          <w:sz w:val="28"/>
          <w:szCs w:val="28"/>
          <w:lang w:eastAsia="ar-SA"/>
        </w:rPr>
        <w:t>н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F63B81">
        <w:rPr>
          <w:rFonts w:ascii="Times New Roman" w:hAnsi="Times New Roman"/>
          <w:sz w:val="28"/>
          <w:szCs w:val="28"/>
          <w:lang w:eastAsia="ar-SA"/>
        </w:rPr>
        <w:t>плані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 </w:t>
      </w:r>
      <w:r w:rsidR="002370D6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13250D">
        <w:rPr>
          <w:rFonts w:ascii="Times New Roman" w:hAnsi="Times New Roman"/>
          <w:sz w:val="28"/>
          <w:szCs w:val="28"/>
          <w:lang w:eastAsia="ar-SA"/>
        </w:rPr>
        <w:t>45854,2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590556">
        <w:rPr>
          <w:rFonts w:ascii="Times New Roman" w:hAnsi="Times New Roman"/>
          <w:sz w:val="28"/>
          <w:szCs w:val="28"/>
          <w:lang w:val="ru-RU" w:eastAsia="ar-SA"/>
        </w:rPr>
        <w:t>.</w:t>
      </w:r>
      <w:proofErr w:type="gram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gramStart"/>
      <w:r w:rsidRPr="00590556">
        <w:rPr>
          <w:rFonts w:ascii="Times New Roman" w:hAnsi="Times New Roman"/>
          <w:sz w:val="28"/>
          <w:szCs w:val="28"/>
          <w:lang w:val="ru-RU" w:eastAsia="ar-SA"/>
        </w:rPr>
        <w:t>г</w:t>
      </w:r>
      <w:proofErr w:type="gram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рн.,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або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r w:rsidR="0013250D">
        <w:rPr>
          <w:rFonts w:ascii="Times New Roman" w:hAnsi="Times New Roman"/>
          <w:sz w:val="28"/>
          <w:szCs w:val="28"/>
          <w:lang w:val="ru-RU" w:eastAsia="ar-SA"/>
        </w:rPr>
        <w:t>74,1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413DC1" w:rsidRPr="00590556" w:rsidRDefault="00413DC1" w:rsidP="00856EF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ar-SA"/>
        </w:rPr>
      </w:pP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Значну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частину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становлять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видатки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90556">
        <w:rPr>
          <w:rFonts w:ascii="Times New Roman" w:hAnsi="Times New Roman"/>
          <w:sz w:val="28"/>
          <w:szCs w:val="28"/>
          <w:lang w:eastAsia="ar-SA"/>
        </w:rPr>
        <w:t>по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галуз</w:t>
      </w:r>
      <w:proofErr w:type="spellEnd"/>
      <w:r w:rsidRPr="00590556">
        <w:rPr>
          <w:rFonts w:ascii="Times New Roman" w:hAnsi="Times New Roman"/>
          <w:sz w:val="28"/>
          <w:szCs w:val="28"/>
          <w:lang w:eastAsia="ar-SA"/>
        </w:rPr>
        <w:t>і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освіта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– 65,</w:t>
      </w:r>
      <w:r w:rsidR="00351B3C">
        <w:rPr>
          <w:rFonts w:ascii="Times New Roman" w:hAnsi="Times New Roman"/>
          <w:sz w:val="28"/>
          <w:szCs w:val="28"/>
          <w:lang w:val="ru-RU" w:eastAsia="ar-SA"/>
        </w:rPr>
        <w:t>1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%, </w:t>
      </w:r>
      <w:r w:rsidRPr="00590556">
        <w:rPr>
          <w:rFonts w:ascii="Times New Roman" w:hAnsi="Times New Roman"/>
          <w:sz w:val="28"/>
          <w:szCs w:val="28"/>
          <w:lang w:eastAsia="ar-SA"/>
        </w:rPr>
        <w:t>у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т.ч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.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видатки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надання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спеціальної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освіти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школами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естетичного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виховання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(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музичними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художніми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хореографічними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театральними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хоровими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мистецькими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) – </w:t>
      </w:r>
      <w:r w:rsidR="00866253">
        <w:rPr>
          <w:rFonts w:ascii="Times New Roman" w:hAnsi="Times New Roman"/>
          <w:sz w:val="28"/>
          <w:szCs w:val="28"/>
          <w:lang w:val="ru-RU" w:eastAsia="ar-SA"/>
        </w:rPr>
        <w:t>2,3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%, 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державне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управління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– </w:t>
      </w:r>
      <w:r w:rsidR="00F70EAC">
        <w:rPr>
          <w:rFonts w:ascii="Times New Roman" w:hAnsi="Times New Roman"/>
          <w:sz w:val="28"/>
          <w:szCs w:val="28"/>
          <w:lang w:val="ru-RU" w:eastAsia="ar-SA"/>
        </w:rPr>
        <w:t>9,9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%, </w:t>
      </w:r>
      <w:proofErr w:type="spellStart"/>
      <w:proofErr w:type="gramStart"/>
      <w:r w:rsidRPr="00590556">
        <w:rPr>
          <w:rFonts w:ascii="Times New Roman" w:hAnsi="Times New Roman"/>
          <w:sz w:val="28"/>
          <w:szCs w:val="28"/>
          <w:lang w:val="ru-RU" w:eastAsia="ar-SA"/>
        </w:rPr>
        <w:t>соц</w:t>
      </w:r>
      <w:proofErr w:type="gramEnd"/>
      <w:r w:rsidRPr="00590556">
        <w:rPr>
          <w:rFonts w:ascii="Times New Roman" w:hAnsi="Times New Roman"/>
          <w:sz w:val="28"/>
          <w:szCs w:val="28"/>
          <w:lang w:val="ru-RU" w:eastAsia="ar-SA"/>
        </w:rPr>
        <w:t>іальний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захист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та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соціальне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забезпечення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–    </w:t>
      </w:r>
      <w:r w:rsidR="00262896">
        <w:rPr>
          <w:rFonts w:ascii="Times New Roman" w:hAnsi="Times New Roman"/>
          <w:sz w:val="28"/>
          <w:szCs w:val="28"/>
          <w:lang w:val="ru-RU" w:eastAsia="ar-SA"/>
        </w:rPr>
        <w:t>4,1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%, культура і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мистецтво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–  </w:t>
      </w:r>
      <w:r w:rsidR="00282F34">
        <w:rPr>
          <w:rFonts w:ascii="Times New Roman" w:hAnsi="Times New Roman"/>
          <w:sz w:val="28"/>
          <w:szCs w:val="28"/>
          <w:lang w:val="ru-RU" w:eastAsia="ar-SA"/>
        </w:rPr>
        <w:t>4,0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%,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житлово-комунальне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господарство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– </w:t>
      </w:r>
      <w:r w:rsidR="00C12ED9">
        <w:rPr>
          <w:rFonts w:ascii="Times New Roman" w:hAnsi="Times New Roman"/>
          <w:sz w:val="28"/>
          <w:szCs w:val="28"/>
          <w:lang w:val="ru-RU" w:eastAsia="ar-SA"/>
        </w:rPr>
        <w:t>2,9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% та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міжбюджетні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трансферти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– </w:t>
      </w:r>
      <w:r w:rsidR="00BC1555">
        <w:rPr>
          <w:rFonts w:ascii="Times New Roman" w:hAnsi="Times New Roman"/>
          <w:sz w:val="28"/>
          <w:szCs w:val="28"/>
          <w:lang w:val="ru-RU" w:eastAsia="ar-SA"/>
        </w:rPr>
        <w:t>12,0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%. </w:t>
      </w:r>
    </w:p>
    <w:p w:rsidR="00413DC1" w:rsidRPr="00F136A6" w:rsidRDefault="00413DC1" w:rsidP="00856EF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24CB1">
        <w:rPr>
          <w:rFonts w:ascii="Times New Roman" w:hAnsi="Times New Roman"/>
          <w:sz w:val="28"/>
          <w:szCs w:val="28"/>
          <w:lang w:eastAsia="ar-SA"/>
        </w:rPr>
        <w:t xml:space="preserve">Переважна частина коштів загального фонду міського бюджету використана на соціально-культурну сферу та становить </w:t>
      </w:r>
      <w:r w:rsidR="002F74F8">
        <w:rPr>
          <w:rFonts w:ascii="Times New Roman" w:hAnsi="Times New Roman"/>
          <w:sz w:val="28"/>
          <w:szCs w:val="28"/>
          <w:lang w:eastAsia="ar-SA"/>
        </w:rPr>
        <w:t>28969,0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тис. грн.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>при уточнен</w:t>
      </w:r>
      <w:r w:rsidRPr="00B24CB1">
        <w:rPr>
          <w:rFonts w:ascii="Times New Roman" w:hAnsi="Times New Roman"/>
          <w:sz w:val="28"/>
          <w:szCs w:val="28"/>
          <w:lang w:eastAsia="ar-SA"/>
        </w:rPr>
        <w:t>н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плані на вказаний період – </w:t>
      </w:r>
      <w:r w:rsidR="002F74F8">
        <w:rPr>
          <w:rFonts w:ascii="Times New Roman" w:hAnsi="Times New Roman"/>
          <w:sz w:val="28"/>
          <w:szCs w:val="28"/>
          <w:lang w:eastAsia="ar-SA"/>
        </w:rPr>
        <w:t>37160,2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B24CB1">
        <w:rPr>
          <w:rFonts w:ascii="Times New Roman" w:hAnsi="Times New Roman"/>
          <w:sz w:val="28"/>
          <w:szCs w:val="28"/>
          <w:lang w:val="ru-RU" w:eastAsia="ar-SA"/>
        </w:rPr>
        <w:t>.</w:t>
      </w:r>
      <w:proofErr w:type="gramEnd"/>
      <w:r w:rsidRPr="00B24CB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gramStart"/>
      <w:r w:rsidRPr="00B24CB1">
        <w:rPr>
          <w:rFonts w:ascii="Times New Roman" w:hAnsi="Times New Roman"/>
          <w:sz w:val="28"/>
          <w:szCs w:val="28"/>
          <w:lang w:val="ru-RU" w:eastAsia="ar-SA"/>
        </w:rPr>
        <w:t>г</w:t>
      </w:r>
      <w:proofErr w:type="gramEnd"/>
      <w:r w:rsidRPr="00B24CB1">
        <w:rPr>
          <w:rFonts w:ascii="Times New Roman" w:hAnsi="Times New Roman"/>
          <w:sz w:val="28"/>
          <w:szCs w:val="28"/>
          <w:lang w:val="ru-RU" w:eastAsia="ar-SA"/>
        </w:rPr>
        <w:t xml:space="preserve">рн., 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що становить </w:t>
      </w:r>
      <w:r w:rsidR="00A06CC9">
        <w:rPr>
          <w:rFonts w:ascii="Times New Roman" w:hAnsi="Times New Roman"/>
          <w:sz w:val="28"/>
          <w:szCs w:val="28"/>
          <w:lang w:eastAsia="ar-SA"/>
        </w:rPr>
        <w:t>78,0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або 8</w:t>
      </w:r>
      <w:r w:rsidR="00A06CC9">
        <w:rPr>
          <w:rFonts w:ascii="Times New Roman" w:hAnsi="Times New Roman"/>
          <w:sz w:val="28"/>
          <w:szCs w:val="28"/>
          <w:lang w:eastAsia="ar-SA"/>
        </w:rPr>
        <w:t>5,3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% від загальної суми видатків громади.</w:t>
      </w:r>
    </w:p>
    <w:p w:rsidR="00413DC1" w:rsidRPr="00F136A6" w:rsidRDefault="00413DC1" w:rsidP="00856E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867EA">
        <w:rPr>
          <w:rFonts w:ascii="Times New Roman" w:hAnsi="Times New Roman"/>
          <w:sz w:val="28"/>
          <w:szCs w:val="28"/>
          <w:lang w:eastAsia="ar-SA"/>
        </w:rPr>
        <w:t xml:space="preserve">Видатки на галузь освіта становлять </w:t>
      </w:r>
      <w:r w:rsidR="004A331F">
        <w:rPr>
          <w:rFonts w:ascii="Times New Roman" w:hAnsi="Times New Roman"/>
          <w:sz w:val="28"/>
          <w:szCs w:val="28"/>
          <w:lang w:eastAsia="ar-SA"/>
        </w:rPr>
        <w:t>22115,5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тис. грн. при уточненому плані на вказаний період –</w:t>
      </w:r>
      <w:r w:rsidR="004A331F">
        <w:rPr>
          <w:rFonts w:ascii="Times New Roman" w:hAnsi="Times New Roman"/>
          <w:sz w:val="28"/>
          <w:szCs w:val="28"/>
          <w:lang w:eastAsia="ar-SA"/>
        </w:rPr>
        <w:t>28982,2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тис. грн. (</w:t>
      </w:r>
      <w:r w:rsidR="004A331F">
        <w:rPr>
          <w:rFonts w:ascii="Times New Roman" w:hAnsi="Times New Roman"/>
          <w:sz w:val="28"/>
          <w:szCs w:val="28"/>
          <w:lang w:eastAsia="ar-SA"/>
        </w:rPr>
        <w:t>76,3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%), в т.ч. видатки на надання спеціальної освіти школами естетичного виховання (музичними, художніми, хореографічними, театральними, хоровими, мистецькими) – </w:t>
      </w:r>
      <w:r w:rsidR="004A331F">
        <w:rPr>
          <w:rFonts w:ascii="Times New Roman" w:hAnsi="Times New Roman"/>
          <w:sz w:val="28"/>
          <w:szCs w:val="28"/>
          <w:lang w:eastAsia="ar-SA"/>
        </w:rPr>
        <w:t>792,3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тис. грн. при уточненому плані – </w:t>
      </w:r>
      <w:r w:rsidR="004A331F">
        <w:rPr>
          <w:rFonts w:ascii="Times New Roman" w:hAnsi="Times New Roman"/>
          <w:sz w:val="28"/>
          <w:szCs w:val="28"/>
          <w:lang w:eastAsia="ar-SA"/>
        </w:rPr>
        <w:t>888,2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тис. грн. (</w:t>
      </w:r>
      <w:r w:rsidR="004A331F">
        <w:rPr>
          <w:rFonts w:ascii="Times New Roman" w:hAnsi="Times New Roman"/>
          <w:sz w:val="28"/>
          <w:szCs w:val="28"/>
          <w:lang w:eastAsia="ar-SA"/>
        </w:rPr>
        <w:t>89,2</w:t>
      </w:r>
      <w:r w:rsidRPr="003867EA">
        <w:rPr>
          <w:rFonts w:ascii="Times New Roman" w:hAnsi="Times New Roman"/>
          <w:sz w:val="28"/>
          <w:szCs w:val="28"/>
          <w:lang w:eastAsia="ar-SA"/>
        </w:rPr>
        <w:t>%).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13DC1" w:rsidRPr="00F136A6" w:rsidRDefault="00413DC1" w:rsidP="00856E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6905">
        <w:rPr>
          <w:rFonts w:ascii="Times New Roman" w:hAnsi="Times New Roman"/>
          <w:sz w:val="28"/>
          <w:szCs w:val="28"/>
          <w:lang w:eastAsia="ar-SA"/>
        </w:rPr>
        <w:t xml:space="preserve">По галузі культура і мистецтво видатки становлять </w:t>
      </w:r>
      <w:r w:rsidR="0048480F">
        <w:rPr>
          <w:rFonts w:ascii="Times New Roman" w:hAnsi="Times New Roman"/>
          <w:sz w:val="28"/>
          <w:szCs w:val="28"/>
          <w:lang w:eastAsia="ar-SA"/>
        </w:rPr>
        <w:t xml:space="preserve">1356,0 </w:t>
      </w:r>
      <w:r w:rsidRPr="00FD6905">
        <w:rPr>
          <w:rFonts w:ascii="Times New Roman" w:hAnsi="Times New Roman"/>
          <w:sz w:val="28"/>
          <w:szCs w:val="28"/>
          <w:lang w:eastAsia="ar-SA"/>
        </w:rPr>
        <w:t xml:space="preserve">тис. грн. при уточненому плані  </w:t>
      </w:r>
      <w:r w:rsidR="0048480F">
        <w:rPr>
          <w:rFonts w:ascii="Times New Roman" w:hAnsi="Times New Roman"/>
          <w:sz w:val="28"/>
          <w:szCs w:val="28"/>
          <w:lang w:eastAsia="ar-SA"/>
        </w:rPr>
        <w:t>1938,2</w:t>
      </w:r>
      <w:r w:rsidRPr="00FD6905">
        <w:rPr>
          <w:rFonts w:ascii="Times New Roman" w:hAnsi="Times New Roman"/>
          <w:sz w:val="28"/>
          <w:szCs w:val="28"/>
          <w:lang w:eastAsia="ar-SA"/>
        </w:rPr>
        <w:t xml:space="preserve"> тис. грн. (</w:t>
      </w:r>
      <w:r w:rsidR="0048480F">
        <w:rPr>
          <w:rFonts w:ascii="Times New Roman" w:hAnsi="Times New Roman"/>
          <w:sz w:val="28"/>
          <w:szCs w:val="28"/>
          <w:lang w:eastAsia="ar-SA"/>
        </w:rPr>
        <w:t>70,0</w:t>
      </w:r>
      <w:r w:rsidRPr="00FD6905">
        <w:rPr>
          <w:rFonts w:ascii="Times New Roman" w:hAnsi="Times New Roman"/>
          <w:sz w:val="28"/>
          <w:szCs w:val="28"/>
          <w:lang w:eastAsia="ar-SA"/>
        </w:rPr>
        <w:t>%).</w:t>
      </w:r>
    </w:p>
    <w:p w:rsidR="00413DC1" w:rsidRPr="00A67432" w:rsidRDefault="00413DC1" w:rsidP="00856E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7432">
        <w:rPr>
          <w:rFonts w:ascii="Times New Roman" w:hAnsi="Times New Roman"/>
          <w:sz w:val="28"/>
          <w:szCs w:val="28"/>
          <w:lang w:eastAsia="ar-SA"/>
        </w:rPr>
        <w:t xml:space="preserve">На утримання ДЮСШ та проведення заходів з фізичної культури і спорту бюджетом на </w:t>
      </w:r>
      <w:r w:rsidR="0048480F">
        <w:rPr>
          <w:rFonts w:ascii="Times New Roman" w:hAnsi="Times New Roman"/>
          <w:sz w:val="28"/>
          <w:szCs w:val="28"/>
          <w:lang w:eastAsia="ru-RU"/>
        </w:rPr>
        <w:t>1 квартал</w:t>
      </w:r>
      <w:r w:rsidR="0048480F"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8480F">
        <w:rPr>
          <w:rFonts w:ascii="Times New Roman" w:hAnsi="Times New Roman"/>
          <w:sz w:val="28"/>
          <w:szCs w:val="28"/>
          <w:lang w:eastAsia="ru-RU"/>
        </w:rPr>
        <w:t>20</w:t>
      </w:r>
      <w:r w:rsidRPr="00A67432">
        <w:rPr>
          <w:rFonts w:ascii="Times New Roman" w:hAnsi="Times New Roman"/>
          <w:sz w:val="28"/>
          <w:szCs w:val="28"/>
          <w:lang w:val="ru-RU" w:eastAsia="ar-SA"/>
        </w:rPr>
        <w:t xml:space="preserve"> року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передбачені  кошти в сумі </w:t>
      </w:r>
      <w:r w:rsidR="0048480F">
        <w:rPr>
          <w:rFonts w:ascii="Times New Roman" w:hAnsi="Times New Roman"/>
          <w:sz w:val="28"/>
          <w:szCs w:val="28"/>
          <w:lang w:eastAsia="ar-SA"/>
        </w:rPr>
        <w:t>1040,1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 тис. грн., фактично використано </w:t>
      </w:r>
      <w:r w:rsidR="0048480F">
        <w:rPr>
          <w:rFonts w:ascii="Times New Roman" w:hAnsi="Times New Roman"/>
          <w:sz w:val="28"/>
          <w:szCs w:val="28"/>
          <w:lang w:eastAsia="ar-SA"/>
        </w:rPr>
        <w:t>633,3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тис. грн. (</w:t>
      </w:r>
      <w:r w:rsidR="0048480F">
        <w:rPr>
          <w:rFonts w:ascii="Times New Roman" w:hAnsi="Times New Roman"/>
          <w:sz w:val="28"/>
          <w:szCs w:val="28"/>
          <w:lang w:eastAsia="ar-SA"/>
        </w:rPr>
        <w:t>60,9</w:t>
      </w:r>
      <w:r w:rsidRPr="00A67432">
        <w:rPr>
          <w:rFonts w:ascii="Times New Roman" w:hAnsi="Times New Roman"/>
          <w:sz w:val="28"/>
          <w:szCs w:val="28"/>
          <w:lang w:eastAsia="ar-SA"/>
        </w:rPr>
        <w:t>%).</w:t>
      </w:r>
    </w:p>
    <w:p w:rsidR="00413DC1" w:rsidRPr="00F136A6" w:rsidRDefault="00413DC1" w:rsidP="00856E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6A49">
        <w:rPr>
          <w:rFonts w:ascii="Times New Roman" w:hAnsi="Times New Roman"/>
          <w:sz w:val="28"/>
          <w:szCs w:val="28"/>
          <w:lang w:eastAsia="ar-SA"/>
        </w:rPr>
        <w:t xml:space="preserve">На соціальний захист та соціальне забезпечення заплановано в бюджеті на  </w:t>
      </w:r>
      <w:r w:rsidR="00371B36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371B36">
        <w:rPr>
          <w:rFonts w:ascii="Times New Roman" w:hAnsi="Times New Roman"/>
          <w:sz w:val="28"/>
          <w:szCs w:val="28"/>
          <w:lang w:eastAsia="ru-RU"/>
        </w:rPr>
        <w:t>1 квартал</w:t>
      </w:r>
      <w:r w:rsidR="00371B36"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71B36">
        <w:rPr>
          <w:rFonts w:ascii="Times New Roman" w:hAnsi="Times New Roman"/>
          <w:sz w:val="28"/>
          <w:szCs w:val="28"/>
          <w:lang w:eastAsia="ru-RU"/>
        </w:rPr>
        <w:t xml:space="preserve">20 </w:t>
      </w:r>
      <w:r w:rsidRPr="00F26A49">
        <w:rPr>
          <w:rFonts w:ascii="Times New Roman" w:hAnsi="Times New Roman"/>
          <w:sz w:val="28"/>
          <w:szCs w:val="28"/>
          <w:lang w:val="ru-RU" w:eastAsia="ar-SA"/>
        </w:rPr>
        <w:t>року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71B36">
        <w:rPr>
          <w:rFonts w:ascii="Times New Roman" w:hAnsi="Times New Roman"/>
          <w:sz w:val="28"/>
          <w:szCs w:val="28"/>
          <w:lang w:eastAsia="ar-SA"/>
        </w:rPr>
        <w:t>1732,2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тис. грн., фактично використано –  </w:t>
      </w:r>
      <w:r w:rsidR="00371B36">
        <w:rPr>
          <w:rFonts w:ascii="Times New Roman" w:hAnsi="Times New Roman"/>
          <w:sz w:val="28"/>
          <w:szCs w:val="28"/>
          <w:lang w:eastAsia="ar-SA"/>
        </w:rPr>
        <w:t>1396,6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тис. грн. (8</w:t>
      </w:r>
      <w:r w:rsidR="00371B36">
        <w:rPr>
          <w:rFonts w:ascii="Times New Roman" w:hAnsi="Times New Roman"/>
          <w:sz w:val="28"/>
          <w:szCs w:val="28"/>
          <w:lang w:eastAsia="ar-SA"/>
        </w:rPr>
        <w:t>0,6</w:t>
      </w:r>
      <w:r w:rsidRPr="00F26A49">
        <w:rPr>
          <w:rFonts w:ascii="Times New Roman" w:hAnsi="Times New Roman"/>
          <w:sz w:val="28"/>
          <w:szCs w:val="28"/>
          <w:lang w:eastAsia="ar-SA"/>
        </w:rPr>
        <w:t>%</w:t>
      </w:r>
      <w:r w:rsidR="00371B36">
        <w:rPr>
          <w:rFonts w:ascii="Times New Roman" w:hAnsi="Times New Roman"/>
          <w:sz w:val="28"/>
          <w:szCs w:val="28"/>
          <w:lang w:eastAsia="ar-SA"/>
        </w:rPr>
        <w:t>)</w:t>
      </w:r>
      <w:r w:rsidRPr="00F26A49">
        <w:rPr>
          <w:rFonts w:ascii="Times New Roman" w:hAnsi="Times New Roman"/>
          <w:sz w:val="28"/>
          <w:szCs w:val="28"/>
          <w:lang w:eastAsia="ar-SA"/>
        </w:rPr>
        <w:t>.</w:t>
      </w:r>
    </w:p>
    <w:p w:rsidR="00413DC1" w:rsidRPr="00F136A6" w:rsidRDefault="00413DC1" w:rsidP="00856EF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237FE">
        <w:rPr>
          <w:rFonts w:ascii="Times New Roman" w:hAnsi="Times New Roman"/>
          <w:sz w:val="28"/>
          <w:szCs w:val="28"/>
          <w:lang w:eastAsia="ar-SA"/>
        </w:rPr>
        <w:t>Видаткова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eastAsia="ar-SA"/>
        </w:rPr>
        <w:t>частина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спеціального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фонду </w:t>
      </w:r>
      <w:r w:rsidRPr="00C237FE">
        <w:rPr>
          <w:rFonts w:ascii="Times New Roman" w:hAnsi="Times New Roman"/>
          <w:sz w:val="28"/>
          <w:szCs w:val="28"/>
          <w:lang w:eastAsia="ar-SA"/>
        </w:rPr>
        <w:t>бюджету громади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14672A">
        <w:rPr>
          <w:rFonts w:ascii="Times New Roman" w:hAnsi="Times New Roman"/>
          <w:sz w:val="28"/>
          <w:szCs w:val="28"/>
          <w:lang w:val="ru-RU" w:eastAsia="ar-SA"/>
        </w:rPr>
        <w:t xml:space="preserve"> за </w:t>
      </w:r>
      <w:r w:rsidR="0014672A">
        <w:rPr>
          <w:rFonts w:ascii="Times New Roman" w:hAnsi="Times New Roman"/>
          <w:sz w:val="28"/>
          <w:szCs w:val="28"/>
          <w:lang w:eastAsia="ru-RU"/>
        </w:rPr>
        <w:t>1 квартал</w:t>
      </w:r>
      <w:r w:rsidR="0014672A" w:rsidRPr="00F63B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2805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14672A" w:rsidRPr="00F63B81">
        <w:rPr>
          <w:rFonts w:ascii="Times New Roman" w:hAnsi="Times New Roman"/>
          <w:sz w:val="28"/>
          <w:szCs w:val="28"/>
          <w:lang w:eastAsia="ru-RU"/>
        </w:rPr>
        <w:t>20</w:t>
      </w:r>
      <w:r w:rsidR="0014672A">
        <w:rPr>
          <w:rFonts w:ascii="Times New Roman" w:hAnsi="Times New Roman"/>
          <w:sz w:val="28"/>
          <w:szCs w:val="28"/>
          <w:lang w:eastAsia="ru-RU"/>
        </w:rPr>
        <w:t>20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року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виконана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eastAsia="ar-SA"/>
        </w:rPr>
        <w:t>у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сумі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14672A">
        <w:rPr>
          <w:rFonts w:ascii="Times New Roman" w:hAnsi="Times New Roman"/>
          <w:sz w:val="28"/>
          <w:szCs w:val="28"/>
          <w:lang w:val="ru-RU" w:eastAsia="ar-SA"/>
        </w:rPr>
        <w:t>2982,5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>тис.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>грн. при уточнен</w:t>
      </w:r>
      <w:r w:rsidRPr="00C237FE">
        <w:rPr>
          <w:rFonts w:ascii="Times New Roman" w:hAnsi="Times New Roman"/>
          <w:sz w:val="28"/>
          <w:szCs w:val="28"/>
          <w:lang w:eastAsia="ar-SA"/>
        </w:rPr>
        <w:t>н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плані на вказаний період </w:t>
      </w:r>
      <w:r w:rsidR="0014672A">
        <w:rPr>
          <w:rFonts w:ascii="Times New Roman" w:hAnsi="Times New Roman"/>
          <w:sz w:val="28"/>
          <w:szCs w:val="28"/>
          <w:lang w:eastAsia="ar-SA"/>
        </w:rPr>
        <w:t>12054,7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C237FE">
        <w:rPr>
          <w:rFonts w:ascii="Times New Roman" w:hAnsi="Times New Roman"/>
          <w:sz w:val="28"/>
          <w:szCs w:val="28"/>
          <w:lang w:val="ru-RU" w:eastAsia="ar-SA"/>
        </w:rPr>
        <w:t>.</w:t>
      </w:r>
      <w:proofErr w:type="gram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gramStart"/>
      <w:r w:rsidRPr="00C237FE">
        <w:rPr>
          <w:rFonts w:ascii="Times New Roman" w:hAnsi="Times New Roman"/>
          <w:sz w:val="28"/>
          <w:szCs w:val="28"/>
          <w:lang w:val="ru-RU" w:eastAsia="ar-SA"/>
        </w:rPr>
        <w:t>г</w:t>
      </w:r>
      <w:proofErr w:type="gram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рн.,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або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r w:rsidR="0014672A">
        <w:rPr>
          <w:rFonts w:ascii="Times New Roman" w:hAnsi="Times New Roman"/>
          <w:sz w:val="28"/>
          <w:szCs w:val="28"/>
          <w:lang w:val="ru-RU" w:eastAsia="ar-SA"/>
        </w:rPr>
        <w:t>24,7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C237FE">
        <w:rPr>
          <w:rFonts w:ascii="Times New Roman" w:hAnsi="Times New Roman"/>
          <w:sz w:val="28"/>
          <w:szCs w:val="28"/>
          <w:lang w:eastAsia="ar-SA"/>
        </w:rPr>
        <w:t>.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13DC1" w:rsidRPr="00AE54E7" w:rsidRDefault="00413DC1" w:rsidP="00856EF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E54E7">
        <w:rPr>
          <w:rFonts w:ascii="Times New Roman" w:hAnsi="Times New Roman"/>
          <w:sz w:val="28"/>
          <w:szCs w:val="28"/>
          <w:lang w:eastAsia="ar-SA"/>
        </w:rPr>
        <w:t xml:space="preserve">Значну частину становлять видатки </w:t>
      </w:r>
      <w:r w:rsidRPr="00AE54E7">
        <w:rPr>
          <w:rFonts w:ascii="Times New Roman" w:hAnsi="Times New Roman"/>
          <w:sz w:val="28"/>
          <w:szCs w:val="28"/>
          <w:lang w:val="ru-RU" w:eastAsia="ar-SA"/>
        </w:rPr>
        <w:t xml:space="preserve">по 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галузі освіта – </w:t>
      </w:r>
      <w:r w:rsidR="0010404C">
        <w:rPr>
          <w:rFonts w:ascii="Times New Roman" w:hAnsi="Times New Roman"/>
          <w:sz w:val="28"/>
          <w:szCs w:val="28"/>
          <w:lang w:eastAsia="ar-SA"/>
        </w:rPr>
        <w:t>43,6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%, у т.ч. видатки на надання спеціальної освіти школами естетичного виховання (музичними, художніми, хореографічними, театральними, хоровими, мистецькими) – </w:t>
      </w:r>
      <w:r w:rsidR="0010404C">
        <w:rPr>
          <w:rFonts w:ascii="Times New Roman" w:hAnsi="Times New Roman"/>
          <w:sz w:val="28"/>
          <w:szCs w:val="28"/>
          <w:lang w:eastAsia="ar-SA"/>
        </w:rPr>
        <w:t>0,9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 %, соціальний захист та соціальне забезпечення – </w:t>
      </w:r>
      <w:r w:rsidR="00622B8D">
        <w:rPr>
          <w:rFonts w:ascii="Times New Roman" w:hAnsi="Times New Roman"/>
          <w:sz w:val="28"/>
          <w:szCs w:val="28"/>
          <w:lang w:eastAsia="ar-SA"/>
        </w:rPr>
        <w:t>37,5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 %</w:t>
      </w:r>
      <w:r w:rsidR="002B2136">
        <w:rPr>
          <w:rFonts w:ascii="Times New Roman" w:hAnsi="Times New Roman"/>
          <w:sz w:val="28"/>
          <w:szCs w:val="28"/>
          <w:lang w:eastAsia="ar-SA"/>
        </w:rPr>
        <w:t>,</w:t>
      </w:r>
      <w:r w:rsidR="0010404C" w:rsidRPr="0010404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0404C" w:rsidRPr="00AE54E7">
        <w:rPr>
          <w:rFonts w:ascii="Times New Roman" w:hAnsi="Times New Roman"/>
          <w:sz w:val="28"/>
          <w:szCs w:val="28"/>
          <w:lang w:eastAsia="ar-SA"/>
        </w:rPr>
        <w:t xml:space="preserve">економічна діяльність – </w:t>
      </w:r>
      <w:r w:rsidR="00E02805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622B8D">
        <w:rPr>
          <w:rFonts w:ascii="Times New Roman" w:hAnsi="Times New Roman"/>
          <w:sz w:val="28"/>
          <w:szCs w:val="28"/>
          <w:lang w:eastAsia="ar-SA"/>
        </w:rPr>
        <w:t>15,9</w:t>
      </w:r>
      <w:r w:rsidR="0010404C" w:rsidRPr="00AE54E7">
        <w:rPr>
          <w:rFonts w:ascii="Times New Roman" w:hAnsi="Times New Roman"/>
          <w:sz w:val="28"/>
          <w:szCs w:val="28"/>
          <w:lang w:eastAsia="ar-SA"/>
        </w:rPr>
        <w:t xml:space="preserve"> %,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413DC1" w:rsidRPr="00F136A6" w:rsidRDefault="00413DC1" w:rsidP="00856EFF">
      <w:pPr>
        <w:suppressAutoHyphens/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AE54E7">
        <w:rPr>
          <w:rFonts w:ascii="TimesNewRomanPSMT" w:hAnsi="TimesNewRomanPSMT"/>
          <w:color w:val="000000"/>
          <w:sz w:val="28"/>
          <w:szCs w:val="28"/>
        </w:rPr>
        <w:t xml:space="preserve">Структура видатків бюджету громади за </w:t>
      </w:r>
      <w:r w:rsidR="002B2136">
        <w:rPr>
          <w:rFonts w:ascii="Times New Roman" w:hAnsi="Times New Roman"/>
          <w:sz w:val="28"/>
          <w:szCs w:val="28"/>
          <w:lang w:eastAsia="ru-RU"/>
        </w:rPr>
        <w:t>1 квартал</w:t>
      </w:r>
      <w:r w:rsidR="002B2136"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2B2136">
        <w:rPr>
          <w:rFonts w:ascii="Times New Roman" w:hAnsi="Times New Roman"/>
          <w:sz w:val="28"/>
          <w:szCs w:val="28"/>
          <w:lang w:eastAsia="ru-RU"/>
        </w:rPr>
        <w:t>20</w:t>
      </w:r>
      <w:r w:rsidR="002B2136" w:rsidRPr="00A67432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AE54E7">
        <w:rPr>
          <w:rFonts w:ascii="TimesNewRomanPSMT" w:hAnsi="TimesNewRomanPSMT"/>
          <w:color w:val="000000"/>
          <w:sz w:val="28"/>
          <w:szCs w:val="28"/>
        </w:rPr>
        <w:t>року за всіма галузями характеризується даними, наведеними у рис.4.</w:t>
      </w:r>
    </w:p>
    <w:p w:rsidR="00413DC1" w:rsidRDefault="00413DC1" w:rsidP="00856EFF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13DC1" w:rsidRDefault="00413DC1" w:rsidP="00856EFF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E44027" w:rsidRDefault="00E44027" w:rsidP="00856EFF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13DC1" w:rsidRDefault="00413DC1" w:rsidP="00856EFF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 xml:space="preserve">Рис. 4.  Структура видаткової частини міського бюджету за галузями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>за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      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8551ED">
        <w:rPr>
          <w:rFonts w:asciiTheme="minorHAnsi" w:hAnsiTheme="minorHAnsi"/>
          <w:b/>
          <w:bCs/>
          <w:color w:val="000000"/>
          <w:sz w:val="28"/>
          <w:szCs w:val="28"/>
        </w:rPr>
        <w:t xml:space="preserve">1 квартал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>20</w:t>
      </w:r>
      <w:r w:rsidR="008551ED">
        <w:rPr>
          <w:rFonts w:asciiTheme="minorHAnsi" w:hAnsiTheme="minorHAnsi"/>
          <w:b/>
          <w:bCs/>
          <w:color w:val="000000"/>
          <w:sz w:val="28"/>
          <w:szCs w:val="28"/>
        </w:rPr>
        <w:t>20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року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(загальний, спеціальний фонди)</w:t>
      </w:r>
    </w:p>
    <w:p w:rsidR="00413DC1" w:rsidRPr="00F136A6" w:rsidRDefault="0074071B" w:rsidP="00856EFF">
      <w:pPr>
        <w:suppressAutoHyphens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210300" cy="5295900"/>
            <wp:effectExtent l="0" t="0" r="0" b="0"/>
            <wp:docPr id="10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413DC1" w:rsidRPr="00F136A6" w:rsidRDefault="00413DC1" w:rsidP="00856E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413DC1" w:rsidRDefault="00413DC1" w:rsidP="00856E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13DC1" w:rsidRDefault="00413DC1" w:rsidP="00856E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3DC1" w:rsidRPr="008C5EF1" w:rsidRDefault="00413DC1" w:rsidP="00856E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8C5EF1">
        <w:rPr>
          <w:rFonts w:ascii="Times New Roman" w:hAnsi="Times New Roman"/>
          <w:sz w:val="28"/>
          <w:szCs w:val="28"/>
          <w:lang w:eastAsia="ru-RU"/>
        </w:rPr>
        <w:t xml:space="preserve">При фінансуванні бюджетних установ та закладів за </w:t>
      </w:r>
      <w:r w:rsidR="00F70D85">
        <w:rPr>
          <w:rFonts w:ascii="Times New Roman" w:hAnsi="Times New Roman"/>
          <w:sz w:val="28"/>
          <w:szCs w:val="28"/>
          <w:lang w:eastAsia="ru-RU"/>
        </w:rPr>
        <w:t>1 квартал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70D85">
        <w:rPr>
          <w:rFonts w:ascii="Times New Roman" w:hAnsi="Times New Roman"/>
          <w:sz w:val="28"/>
          <w:szCs w:val="28"/>
          <w:lang w:eastAsia="ru-RU"/>
        </w:rPr>
        <w:t>20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року в першочерговому порядку фінансувались видатки по захищених статтях витрат, визначених рішенням </w:t>
      </w:r>
      <w:proofErr w:type="spellStart"/>
      <w:r w:rsidRPr="008C5EF1">
        <w:rPr>
          <w:rFonts w:ascii="Times New Roman" w:hAnsi="Times New Roman"/>
          <w:sz w:val="28"/>
          <w:szCs w:val="28"/>
          <w:lang w:eastAsia="ru-RU"/>
        </w:rPr>
        <w:t>Новоукраїнської</w:t>
      </w:r>
      <w:proofErr w:type="spellEnd"/>
      <w:r w:rsidRPr="008C5EF1">
        <w:rPr>
          <w:rFonts w:ascii="Times New Roman" w:hAnsi="Times New Roman"/>
          <w:sz w:val="28"/>
          <w:szCs w:val="28"/>
          <w:lang w:eastAsia="ru-RU"/>
        </w:rPr>
        <w:t xml:space="preserve"> міської ради від </w:t>
      </w:r>
      <w:r w:rsidR="00F70D85">
        <w:rPr>
          <w:rFonts w:ascii="Times New Roman" w:hAnsi="Times New Roman"/>
          <w:sz w:val="28"/>
          <w:szCs w:val="28"/>
          <w:lang w:eastAsia="ru-RU"/>
        </w:rPr>
        <w:t>20</w:t>
      </w:r>
      <w:r w:rsidRPr="008C5EF1">
        <w:rPr>
          <w:rFonts w:ascii="Times New Roman" w:hAnsi="Times New Roman"/>
          <w:sz w:val="28"/>
          <w:szCs w:val="28"/>
          <w:lang w:eastAsia="ru-RU"/>
        </w:rPr>
        <w:t>.12.20</w:t>
      </w:r>
      <w:r w:rsidR="00F70D85">
        <w:rPr>
          <w:rFonts w:ascii="Times New Roman" w:hAnsi="Times New Roman"/>
          <w:sz w:val="28"/>
          <w:szCs w:val="28"/>
          <w:lang w:eastAsia="ru-RU"/>
        </w:rPr>
        <w:t>19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року №1</w:t>
      </w:r>
      <w:r w:rsidR="00F70D85">
        <w:rPr>
          <w:rFonts w:ascii="Times New Roman" w:hAnsi="Times New Roman"/>
          <w:sz w:val="28"/>
          <w:szCs w:val="28"/>
          <w:lang w:eastAsia="ru-RU"/>
        </w:rPr>
        <w:t>538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"Про  бюджет </w:t>
      </w:r>
      <w:proofErr w:type="spellStart"/>
      <w:r w:rsidRPr="008C5EF1">
        <w:rPr>
          <w:rFonts w:ascii="Times New Roman" w:hAnsi="Times New Roman"/>
          <w:sz w:val="28"/>
          <w:szCs w:val="28"/>
          <w:lang w:eastAsia="ru-RU"/>
        </w:rPr>
        <w:t>Новоукраїнської</w:t>
      </w:r>
      <w:proofErr w:type="spellEnd"/>
      <w:r w:rsidRPr="008C5EF1">
        <w:rPr>
          <w:rFonts w:ascii="Times New Roman" w:hAnsi="Times New Roman"/>
          <w:sz w:val="28"/>
          <w:szCs w:val="28"/>
          <w:lang w:eastAsia="ru-RU"/>
        </w:rPr>
        <w:t xml:space="preserve"> міської об'єднаної територіальної громади на 20</w:t>
      </w:r>
      <w:r w:rsidR="00F70D85">
        <w:rPr>
          <w:rFonts w:ascii="Times New Roman" w:hAnsi="Times New Roman"/>
          <w:sz w:val="28"/>
          <w:szCs w:val="28"/>
          <w:lang w:eastAsia="ru-RU"/>
        </w:rPr>
        <w:t>20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рік", 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видатки загального фонду  яких становлять </w:t>
      </w:r>
      <w:r w:rsidR="007629B8">
        <w:rPr>
          <w:rFonts w:ascii="Times New Roman" w:hAnsi="Times New Roman"/>
          <w:sz w:val="28"/>
          <w:szCs w:val="28"/>
          <w:lang w:eastAsia="ar-SA"/>
        </w:rPr>
        <w:t>31904,8 тис. грн., що складає 93,6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% від загального обсягу видатків, у тому числі на оплату праці і нарахування на заробітну плату – </w:t>
      </w:r>
      <w:r w:rsidR="007629B8">
        <w:rPr>
          <w:rFonts w:ascii="Times New Roman" w:hAnsi="Times New Roman"/>
          <w:sz w:val="28"/>
          <w:szCs w:val="28"/>
          <w:lang w:eastAsia="ar-SA"/>
        </w:rPr>
        <w:t>24368,6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 тис. грн. (</w:t>
      </w:r>
      <w:r w:rsidR="007629B8">
        <w:rPr>
          <w:rFonts w:ascii="Times New Roman" w:hAnsi="Times New Roman"/>
          <w:sz w:val="28"/>
          <w:szCs w:val="28"/>
          <w:lang w:eastAsia="ar-SA"/>
        </w:rPr>
        <w:t>71,8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%), на медикаменти та перев`язувальні матеріали – </w:t>
      </w:r>
      <w:r w:rsidR="00C661E9">
        <w:rPr>
          <w:rFonts w:ascii="Times New Roman" w:hAnsi="Times New Roman"/>
          <w:sz w:val="28"/>
          <w:szCs w:val="28"/>
          <w:lang w:eastAsia="ar-SA"/>
        </w:rPr>
        <w:t>0,0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 тис. грн., на продукти харчування – </w:t>
      </w:r>
      <w:r w:rsidR="00C661E9">
        <w:rPr>
          <w:rFonts w:ascii="Times New Roman" w:hAnsi="Times New Roman"/>
          <w:sz w:val="28"/>
          <w:szCs w:val="28"/>
          <w:lang w:eastAsia="ar-SA"/>
        </w:rPr>
        <w:t xml:space="preserve">473,7 </w:t>
      </w:r>
      <w:r w:rsidRPr="008C5EF1">
        <w:rPr>
          <w:rFonts w:ascii="Times New Roman" w:hAnsi="Times New Roman"/>
          <w:sz w:val="28"/>
          <w:szCs w:val="28"/>
          <w:lang w:eastAsia="ar-SA"/>
        </w:rPr>
        <w:t>тис. грн. (</w:t>
      </w:r>
      <w:r w:rsidR="00C661E9">
        <w:rPr>
          <w:rFonts w:ascii="Times New Roman" w:hAnsi="Times New Roman"/>
          <w:sz w:val="28"/>
          <w:szCs w:val="28"/>
          <w:lang w:eastAsia="ar-SA"/>
        </w:rPr>
        <w:t>1,4</w:t>
      </w:r>
      <w:r w:rsidRPr="008C5EF1">
        <w:rPr>
          <w:rFonts w:ascii="Times New Roman" w:hAnsi="Times New Roman"/>
          <w:sz w:val="28"/>
          <w:szCs w:val="28"/>
          <w:lang w:eastAsia="ar-SA"/>
        </w:rPr>
        <w:t>%), оплату комунальних послуг та енергоносіїв –</w:t>
      </w:r>
      <w:r w:rsidR="00C661E9">
        <w:rPr>
          <w:rFonts w:ascii="Times New Roman" w:hAnsi="Times New Roman"/>
          <w:sz w:val="28"/>
          <w:szCs w:val="28"/>
          <w:lang w:eastAsia="ar-SA"/>
        </w:rPr>
        <w:t xml:space="preserve"> 2804,1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 тис. грн. (</w:t>
      </w:r>
      <w:r w:rsidR="00C661E9">
        <w:rPr>
          <w:rFonts w:ascii="Times New Roman" w:hAnsi="Times New Roman"/>
          <w:sz w:val="28"/>
          <w:szCs w:val="28"/>
          <w:lang w:eastAsia="ar-SA"/>
        </w:rPr>
        <w:t>8,3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%), поточні трансферти органам державного управління інших рівнів – </w:t>
      </w:r>
      <w:r w:rsidR="002D16FB">
        <w:rPr>
          <w:rFonts w:ascii="Times New Roman" w:hAnsi="Times New Roman"/>
          <w:sz w:val="28"/>
          <w:szCs w:val="28"/>
          <w:lang w:eastAsia="ar-SA"/>
        </w:rPr>
        <w:t>4061,6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 тис. грн. (</w:t>
      </w:r>
      <w:r w:rsidR="002D16FB">
        <w:rPr>
          <w:rFonts w:ascii="Times New Roman" w:hAnsi="Times New Roman"/>
          <w:sz w:val="28"/>
          <w:szCs w:val="28"/>
          <w:lang w:eastAsia="ar-SA"/>
        </w:rPr>
        <w:t>12,0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%), інші виплати населенню – </w:t>
      </w:r>
      <w:r w:rsidR="002D16FB">
        <w:rPr>
          <w:rFonts w:ascii="Times New Roman" w:hAnsi="Times New Roman"/>
          <w:sz w:val="28"/>
          <w:szCs w:val="28"/>
          <w:lang w:eastAsia="ar-SA"/>
        </w:rPr>
        <w:t xml:space="preserve">196,9 </w:t>
      </w:r>
      <w:r w:rsidRPr="008C5EF1">
        <w:rPr>
          <w:rFonts w:ascii="Times New Roman" w:hAnsi="Times New Roman"/>
          <w:sz w:val="28"/>
          <w:szCs w:val="28"/>
          <w:lang w:eastAsia="ar-SA"/>
        </w:rPr>
        <w:t>тис. грн. (0,</w:t>
      </w:r>
      <w:r w:rsidR="002D16FB">
        <w:rPr>
          <w:rFonts w:ascii="Times New Roman" w:hAnsi="Times New Roman"/>
          <w:sz w:val="28"/>
          <w:szCs w:val="28"/>
          <w:lang w:eastAsia="ar-SA"/>
        </w:rPr>
        <w:t>6</w:t>
      </w:r>
      <w:r w:rsidRPr="008C5EF1">
        <w:rPr>
          <w:rFonts w:ascii="Times New Roman" w:hAnsi="Times New Roman"/>
          <w:sz w:val="28"/>
          <w:szCs w:val="28"/>
          <w:lang w:eastAsia="ar-SA"/>
        </w:rPr>
        <w:t>%).</w:t>
      </w:r>
    </w:p>
    <w:p w:rsidR="00413DC1" w:rsidRPr="00FC010F" w:rsidRDefault="00413DC1" w:rsidP="00856EF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36A6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Pr="0044120F">
        <w:rPr>
          <w:rFonts w:ascii="Times New Roman" w:hAnsi="Times New Roman"/>
          <w:sz w:val="28"/>
          <w:szCs w:val="28"/>
          <w:lang w:eastAsia="ar-SA"/>
        </w:rPr>
        <w:t xml:space="preserve">За </w:t>
      </w:r>
      <w:r w:rsidR="001519A3">
        <w:rPr>
          <w:rFonts w:ascii="Times New Roman" w:hAnsi="Times New Roman"/>
          <w:sz w:val="28"/>
          <w:szCs w:val="28"/>
          <w:lang w:eastAsia="ar-SA"/>
        </w:rPr>
        <w:t>1 квартал</w:t>
      </w:r>
      <w:r w:rsidRPr="0044120F">
        <w:rPr>
          <w:rFonts w:ascii="Times New Roman" w:hAnsi="Times New Roman"/>
          <w:sz w:val="28"/>
          <w:szCs w:val="28"/>
          <w:lang w:eastAsia="ar-SA"/>
        </w:rPr>
        <w:t xml:space="preserve"> 20</w:t>
      </w:r>
      <w:r w:rsidR="001519A3">
        <w:rPr>
          <w:rFonts w:ascii="Times New Roman" w:hAnsi="Times New Roman"/>
          <w:sz w:val="28"/>
          <w:szCs w:val="28"/>
          <w:lang w:eastAsia="ar-SA"/>
        </w:rPr>
        <w:t>20</w:t>
      </w:r>
      <w:r w:rsidRPr="0044120F">
        <w:rPr>
          <w:rFonts w:ascii="Times New Roman" w:hAnsi="Times New Roman"/>
          <w:sz w:val="28"/>
          <w:szCs w:val="28"/>
          <w:lang w:eastAsia="ar-SA"/>
        </w:rPr>
        <w:t xml:space="preserve"> року забезпечено своєчасну виплату заробітної плати працівникам бюджетних установ</w:t>
      </w:r>
      <w:r w:rsidR="00341B4A">
        <w:rPr>
          <w:rFonts w:ascii="Times New Roman" w:hAnsi="Times New Roman"/>
          <w:sz w:val="28"/>
          <w:szCs w:val="28"/>
          <w:lang w:eastAsia="ar-SA"/>
        </w:rPr>
        <w:t>.</w:t>
      </w:r>
      <w:r w:rsidRPr="0044120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519A3">
        <w:rPr>
          <w:rFonts w:ascii="Times New Roman" w:hAnsi="Times New Roman"/>
          <w:sz w:val="28"/>
          <w:szCs w:val="28"/>
          <w:lang w:eastAsia="ar-SA"/>
        </w:rPr>
        <w:t>Разом з тим, станом на 01 квітня 2020 року існує</w:t>
      </w:r>
      <w:r w:rsidR="000F79CE">
        <w:rPr>
          <w:rFonts w:ascii="Times New Roman" w:hAnsi="Times New Roman"/>
          <w:sz w:val="28"/>
          <w:szCs w:val="28"/>
          <w:lang w:eastAsia="ar-SA"/>
        </w:rPr>
        <w:t xml:space="preserve"> кредиторська заборгованість</w:t>
      </w:r>
      <w:r w:rsidR="00B72D7C">
        <w:rPr>
          <w:rFonts w:ascii="Times New Roman" w:hAnsi="Times New Roman"/>
          <w:sz w:val="28"/>
          <w:szCs w:val="28"/>
          <w:lang w:eastAsia="ar-SA"/>
        </w:rPr>
        <w:t xml:space="preserve"> по нарахуванню на </w:t>
      </w:r>
      <w:r w:rsidR="00FE1A74">
        <w:rPr>
          <w:rFonts w:ascii="Times New Roman" w:hAnsi="Times New Roman"/>
          <w:sz w:val="28"/>
          <w:szCs w:val="28"/>
          <w:lang w:eastAsia="ar-SA"/>
        </w:rPr>
        <w:t>о</w:t>
      </w:r>
      <w:r w:rsidR="00B72D7C">
        <w:rPr>
          <w:rFonts w:ascii="Times New Roman" w:hAnsi="Times New Roman"/>
          <w:sz w:val="28"/>
          <w:szCs w:val="28"/>
          <w:lang w:eastAsia="ar-SA"/>
        </w:rPr>
        <w:t>плату</w:t>
      </w:r>
      <w:r w:rsidR="00FE1A74">
        <w:rPr>
          <w:rFonts w:ascii="Times New Roman" w:hAnsi="Times New Roman"/>
          <w:sz w:val="28"/>
          <w:szCs w:val="28"/>
          <w:lang w:eastAsia="ar-SA"/>
        </w:rPr>
        <w:t xml:space="preserve"> праці</w:t>
      </w:r>
      <w:r w:rsidR="008C2E19">
        <w:rPr>
          <w:rFonts w:ascii="Times New Roman" w:hAnsi="Times New Roman"/>
          <w:sz w:val="28"/>
          <w:szCs w:val="28"/>
          <w:lang w:eastAsia="ar-SA"/>
        </w:rPr>
        <w:t xml:space="preserve"> педагогічним працівникам загальноосвітніх закладів, які фінансуються за рахунок освітньої субвенції з державного бюджету</w:t>
      </w:r>
      <w:r w:rsidR="008477F8">
        <w:rPr>
          <w:rFonts w:ascii="Times New Roman" w:hAnsi="Times New Roman"/>
          <w:sz w:val="28"/>
          <w:szCs w:val="28"/>
          <w:lang w:eastAsia="ar-SA"/>
        </w:rPr>
        <w:t xml:space="preserve"> у сумі 19,7 </w:t>
      </w:r>
      <w:proofErr w:type="spellStart"/>
      <w:r w:rsidR="008477F8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8477F8">
        <w:rPr>
          <w:rFonts w:ascii="Times New Roman" w:hAnsi="Times New Roman"/>
          <w:sz w:val="28"/>
          <w:szCs w:val="28"/>
          <w:lang w:eastAsia="ar-SA"/>
        </w:rPr>
        <w:t>.</w:t>
      </w:r>
      <w:r w:rsidR="00341B4A">
        <w:rPr>
          <w:rFonts w:ascii="Times New Roman" w:hAnsi="Times New Roman"/>
          <w:sz w:val="28"/>
          <w:szCs w:val="28"/>
          <w:lang w:eastAsia="ar-SA"/>
        </w:rPr>
        <w:t xml:space="preserve">. Також, забезпечено </w:t>
      </w:r>
      <w:r w:rsidR="00341B4A" w:rsidRPr="0044120F">
        <w:rPr>
          <w:rFonts w:ascii="Times New Roman" w:hAnsi="Times New Roman"/>
          <w:sz w:val="28"/>
          <w:szCs w:val="28"/>
          <w:lang w:eastAsia="ar-SA"/>
        </w:rPr>
        <w:t xml:space="preserve">стовідсоткову оплату за спожиті бюджетними установами енергоносії і комунальні </w:t>
      </w:r>
      <w:r w:rsidR="00341B4A" w:rsidRPr="0044120F">
        <w:rPr>
          <w:rFonts w:ascii="Times New Roman" w:hAnsi="Times New Roman"/>
          <w:sz w:val="28"/>
          <w:szCs w:val="28"/>
          <w:lang w:eastAsia="ar-SA"/>
        </w:rPr>
        <w:lastRenderedPageBreak/>
        <w:t>послуги</w:t>
      </w:r>
      <w:r w:rsidR="00341B4A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44120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4120F">
        <w:rPr>
          <w:rFonts w:ascii="Times New Roman" w:hAnsi="Times New Roman"/>
          <w:sz w:val="28"/>
          <w:szCs w:val="28"/>
          <w:lang w:eastAsia="ru-RU"/>
        </w:rPr>
        <w:t>що дало змогу не допустити кредиторської заборгованості із зазначених виплат.</w:t>
      </w:r>
    </w:p>
    <w:p w:rsidR="00E36CCA" w:rsidRDefault="00413DC1" w:rsidP="00856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1861">
        <w:rPr>
          <w:rFonts w:ascii="Times New Roman" w:hAnsi="Times New Roman"/>
          <w:sz w:val="28"/>
          <w:szCs w:val="28"/>
          <w:lang w:eastAsia="ar-SA"/>
        </w:rPr>
        <w:t xml:space="preserve">Видатки спеціального фонду проведені на суму </w:t>
      </w:r>
      <w:r w:rsidRPr="00F11861">
        <w:rPr>
          <w:rFonts w:ascii="Times New Roman" w:hAnsi="Times New Roman"/>
          <w:sz w:val="28"/>
          <w:szCs w:val="28"/>
          <w:lang w:eastAsia="ar-SA"/>
        </w:rPr>
        <w:br/>
      </w:r>
      <w:r w:rsidR="00477C48">
        <w:rPr>
          <w:rFonts w:ascii="Times New Roman" w:hAnsi="Times New Roman"/>
          <w:sz w:val="28"/>
          <w:szCs w:val="28"/>
          <w:lang w:eastAsia="ar-SA"/>
        </w:rPr>
        <w:t>2982,5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тис. грн., з них найвагоміші: придбання обладнання і предметів довгострокового користування – </w:t>
      </w:r>
      <w:r w:rsidR="00477C48">
        <w:rPr>
          <w:rFonts w:ascii="Times New Roman" w:hAnsi="Times New Roman"/>
          <w:sz w:val="28"/>
          <w:szCs w:val="28"/>
          <w:lang w:eastAsia="ar-SA"/>
        </w:rPr>
        <w:t>1929,0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тис. грн. (</w:t>
      </w:r>
      <w:r w:rsidR="00477C48">
        <w:rPr>
          <w:rFonts w:ascii="Times New Roman" w:hAnsi="Times New Roman"/>
          <w:sz w:val="28"/>
          <w:szCs w:val="28"/>
          <w:lang w:eastAsia="ar-SA"/>
        </w:rPr>
        <w:t>64,7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%), </w:t>
      </w:r>
      <w:r w:rsidRPr="006114A4">
        <w:rPr>
          <w:rFonts w:ascii="Times New Roman" w:hAnsi="Times New Roman"/>
          <w:sz w:val="28"/>
          <w:szCs w:val="28"/>
          <w:lang w:eastAsia="ar-SA"/>
        </w:rPr>
        <w:t xml:space="preserve">з них найбільші: </w:t>
      </w:r>
      <w:r w:rsidR="009023DE">
        <w:rPr>
          <w:rFonts w:ascii="Times New Roman" w:hAnsi="Times New Roman"/>
          <w:sz w:val="28"/>
          <w:szCs w:val="28"/>
          <w:lang w:eastAsia="ar-SA"/>
        </w:rPr>
        <w:t xml:space="preserve">отримано </w:t>
      </w:r>
      <w:proofErr w:type="spellStart"/>
      <w:r w:rsidR="007275A2">
        <w:rPr>
          <w:rFonts w:ascii="Times New Roman" w:hAnsi="Times New Roman"/>
          <w:sz w:val="28"/>
          <w:szCs w:val="28"/>
          <w:lang w:eastAsia="ar-SA"/>
        </w:rPr>
        <w:t>спецавтомобіль</w:t>
      </w:r>
      <w:proofErr w:type="spellEnd"/>
      <w:r w:rsidR="007275A2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275A2">
        <w:rPr>
          <w:rFonts w:ascii="Times New Roman" w:hAnsi="Times New Roman"/>
          <w:sz w:val="28"/>
          <w:szCs w:val="28"/>
          <w:lang w:val="en-US" w:eastAsia="ar-SA"/>
        </w:rPr>
        <w:t>KrASZ</w:t>
      </w:r>
      <w:proofErr w:type="spellEnd"/>
      <w:r w:rsidR="007275A2" w:rsidRPr="007275A2">
        <w:rPr>
          <w:rFonts w:ascii="Times New Roman" w:hAnsi="Times New Roman"/>
          <w:sz w:val="28"/>
          <w:szCs w:val="28"/>
          <w:lang w:eastAsia="ar-SA"/>
        </w:rPr>
        <w:t>-</w:t>
      </w:r>
      <w:r w:rsidR="007275A2">
        <w:rPr>
          <w:rFonts w:ascii="Times New Roman" w:hAnsi="Times New Roman"/>
          <w:sz w:val="28"/>
          <w:szCs w:val="28"/>
          <w:lang w:val="en-US" w:eastAsia="ar-SA"/>
        </w:rPr>
        <w:t>YDST</w:t>
      </w:r>
      <w:r w:rsidR="007275A2" w:rsidRPr="007275A2">
        <w:rPr>
          <w:rFonts w:ascii="Times New Roman" w:hAnsi="Times New Roman"/>
          <w:sz w:val="28"/>
          <w:szCs w:val="28"/>
          <w:lang w:eastAsia="ar-SA"/>
        </w:rPr>
        <w:t>52</w:t>
      </w:r>
      <w:r w:rsidR="007275A2">
        <w:rPr>
          <w:rFonts w:ascii="Times New Roman" w:hAnsi="Times New Roman"/>
          <w:sz w:val="28"/>
          <w:szCs w:val="28"/>
          <w:lang w:eastAsia="ar-SA"/>
        </w:rPr>
        <w:t xml:space="preserve"> від Міністерства соціальної політики</w:t>
      </w:r>
      <w:r w:rsidR="009023DE">
        <w:rPr>
          <w:rFonts w:ascii="Times New Roman" w:hAnsi="Times New Roman"/>
          <w:sz w:val="28"/>
          <w:szCs w:val="28"/>
          <w:lang w:eastAsia="ar-SA"/>
        </w:rPr>
        <w:t xml:space="preserve"> України  відповідно до Постанови Кабінету Міністрів України від 14 березня 2018 року №189 "Деякі питання використання коштів,передбачених у державному бюджеті для придбання спеціально обладнаних автомобілів для перевезення осіб з інвалідністю, які мають порушення </w:t>
      </w:r>
      <w:proofErr w:type="spellStart"/>
      <w:r w:rsidR="009023DE">
        <w:rPr>
          <w:rFonts w:ascii="Times New Roman" w:hAnsi="Times New Roman"/>
          <w:sz w:val="28"/>
          <w:szCs w:val="28"/>
          <w:lang w:eastAsia="ar-SA"/>
        </w:rPr>
        <w:t>опорно</w:t>
      </w:r>
      <w:proofErr w:type="spellEnd"/>
      <w:r w:rsidR="009023DE">
        <w:rPr>
          <w:rFonts w:ascii="Times New Roman" w:hAnsi="Times New Roman"/>
          <w:sz w:val="28"/>
          <w:szCs w:val="28"/>
          <w:lang w:eastAsia="ar-SA"/>
        </w:rPr>
        <w:t xml:space="preserve"> – рухового апарату" після проведення тендеру на закупівлю даних автомобілів</w:t>
      </w:r>
      <w:r w:rsidR="0001415E">
        <w:rPr>
          <w:rFonts w:ascii="Times New Roman" w:hAnsi="Times New Roman"/>
          <w:sz w:val="28"/>
          <w:szCs w:val="28"/>
          <w:lang w:eastAsia="ar-SA"/>
        </w:rPr>
        <w:t>,</w:t>
      </w:r>
      <w:r w:rsidR="009023D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1415E">
        <w:rPr>
          <w:rFonts w:ascii="Times New Roman" w:hAnsi="Times New Roman"/>
          <w:sz w:val="28"/>
          <w:szCs w:val="28"/>
          <w:lang w:eastAsia="ar-SA"/>
        </w:rPr>
        <w:t xml:space="preserve">та поставлено на облік Центром соціальних послуг </w:t>
      </w:r>
      <w:proofErr w:type="spellStart"/>
      <w:r w:rsidR="0001415E">
        <w:rPr>
          <w:rFonts w:ascii="Times New Roman" w:hAnsi="Times New Roman"/>
          <w:sz w:val="28"/>
          <w:szCs w:val="28"/>
          <w:lang w:eastAsia="ar-SA"/>
        </w:rPr>
        <w:t>Новоукраїнської</w:t>
      </w:r>
      <w:proofErr w:type="spellEnd"/>
      <w:r w:rsidR="0001415E">
        <w:rPr>
          <w:rFonts w:ascii="Times New Roman" w:hAnsi="Times New Roman"/>
          <w:sz w:val="28"/>
          <w:szCs w:val="28"/>
          <w:lang w:eastAsia="ar-SA"/>
        </w:rPr>
        <w:t xml:space="preserve"> міської ради </w:t>
      </w:r>
      <w:r w:rsidR="009023DE">
        <w:rPr>
          <w:rFonts w:ascii="Times New Roman" w:hAnsi="Times New Roman"/>
          <w:sz w:val="28"/>
          <w:szCs w:val="28"/>
          <w:lang w:eastAsia="ar-SA"/>
        </w:rPr>
        <w:t xml:space="preserve">у сумі 1058,0 </w:t>
      </w:r>
      <w:proofErr w:type="spellStart"/>
      <w:r w:rsidR="009023DE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9023DE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капітальний ремонт – </w:t>
      </w:r>
      <w:r w:rsidR="00E73DD1">
        <w:rPr>
          <w:rFonts w:ascii="Times New Roman" w:hAnsi="Times New Roman"/>
          <w:sz w:val="28"/>
          <w:szCs w:val="28"/>
          <w:lang w:eastAsia="ar-SA"/>
        </w:rPr>
        <w:t>90,5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тис. грн.(</w:t>
      </w:r>
      <w:r w:rsidR="00E73DD1">
        <w:rPr>
          <w:rFonts w:ascii="Times New Roman" w:hAnsi="Times New Roman"/>
          <w:sz w:val="28"/>
          <w:szCs w:val="28"/>
          <w:lang w:eastAsia="ar-SA"/>
        </w:rPr>
        <w:t>3,0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%), у т.ч. </w:t>
      </w:r>
      <w:r w:rsidR="00E73DD1">
        <w:rPr>
          <w:rFonts w:ascii="Times New Roman" w:hAnsi="Times New Roman"/>
          <w:sz w:val="28"/>
          <w:szCs w:val="28"/>
          <w:lang w:eastAsia="ar-SA"/>
        </w:rPr>
        <w:t>видатки на виготовлення</w:t>
      </w:r>
      <w:r w:rsidR="00FC474C">
        <w:rPr>
          <w:rFonts w:ascii="Times New Roman" w:hAnsi="Times New Roman"/>
          <w:sz w:val="28"/>
          <w:szCs w:val="28"/>
          <w:lang w:eastAsia="ar-SA"/>
        </w:rPr>
        <w:t xml:space="preserve"> та експертизу</w:t>
      </w:r>
      <w:r w:rsidR="00E73DD1">
        <w:rPr>
          <w:rFonts w:ascii="Times New Roman" w:hAnsi="Times New Roman"/>
          <w:sz w:val="28"/>
          <w:szCs w:val="28"/>
          <w:lang w:eastAsia="ar-SA"/>
        </w:rPr>
        <w:t xml:space="preserve"> проектно-кошторисн</w:t>
      </w:r>
      <w:r w:rsidR="001638F5">
        <w:rPr>
          <w:rFonts w:ascii="Times New Roman" w:hAnsi="Times New Roman"/>
          <w:sz w:val="28"/>
          <w:szCs w:val="28"/>
          <w:lang w:eastAsia="ar-SA"/>
        </w:rPr>
        <w:t>ої</w:t>
      </w:r>
      <w:r w:rsidR="00E73DD1">
        <w:rPr>
          <w:rFonts w:ascii="Times New Roman" w:hAnsi="Times New Roman"/>
          <w:sz w:val="28"/>
          <w:szCs w:val="28"/>
          <w:lang w:eastAsia="ar-SA"/>
        </w:rPr>
        <w:t xml:space="preserve"> документаці</w:t>
      </w:r>
      <w:r w:rsidR="001638F5">
        <w:rPr>
          <w:rFonts w:ascii="Times New Roman" w:hAnsi="Times New Roman"/>
          <w:sz w:val="28"/>
          <w:szCs w:val="28"/>
          <w:lang w:eastAsia="ar-SA"/>
        </w:rPr>
        <w:t xml:space="preserve">ї </w:t>
      </w:r>
      <w:r w:rsidR="00FC474C">
        <w:rPr>
          <w:rFonts w:ascii="Times New Roman" w:hAnsi="Times New Roman"/>
          <w:sz w:val="28"/>
          <w:szCs w:val="28"/>
          <w:lang w:eastAsia="ar-SA"/>
        </w:rPr>
        <w:t xml:space="preserve">з </w:t>
      </w:r>
      <w:r w:rsidRPr="00D978C8">
        <w:rPr>
          <w:rFonts w:ascii="Times New Roman" w:hAnsi="Times New Roman"/>
          <w:sz w:val="28"/>
          <w:szCs w:val="28"/>
          <w:lang w:eastAsia="ar-SA"/>
        </w:rPr>
        <w:t>капітальн</w:t>
      </w:r>
      <w:r w:rsidR="00FC474C">
        <w:rPr>
          <w:rFonts w:ascii="Times New Roman" w:hAnsi="Times New Roman"/>
          <w:sz w:val="28"/>
          <w:szCs w:val="28"/>
          <w:lang w:eastAsia="ar-SA"/>
        </w:rPr>
        <w:t>ого</w:t>
      </w:r>
      <w:r w:rsidRPr="00D978C8">
        <w:rPr>
          <w:rFonts w:ascii="Times New Roman" w:hAnsi="Times New Roman"/>
          <w:sz w:val="28"/>
          <w:szCs w:val="28"/>
          <w:lang w:eastAsia="ar-SA"/>
        </w:rPr>
        <w:t xml:space="preserve"> ремонт</w:t>
      </w:r>
      <w:r w:rsidR="00FC474C">
        <w:rPr>
          <w:rFonts w:ascii="Times New Roman" w:hAnsi="Times New Roman"/>
          <w:sz w:val="28"/>
          <w:szCs w:val="28"/>
          <w:lang w:eastAsia="ar-SA"/>
        </w:rPr>
        <w:t>у</w:t>
      </w:r>
      <w:r w:rsidRPr="00D978C8">
        <w:rPr>
          <w:rFonts w:ascii="Times New Roman" w:hAnsi="Times New Roman"/>
          <w:sz w:val="28"/>
          <w:szCs w:val="28"/>
          <w:lang w:eastAsia="ar-SA"/>
        </w:rPr>
        <w:t xml:space="preserve"> тротуар</w:t>
      </w:r>
      <w:r w:rsidR="00FC474C">
        <w:rPr>
          <w:rFonts w:ascii="Times New Roman" w:hAnsi="Times New Roman"/>
          <w:sz w:val="28"/>
          <w:szCs w:val="28"/>
          <w:lang w:eastAsia="ar-SA"/>
        </w:rPr>
        <w:t>ів та доріг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; 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реконструкція та реставрація – </w:t>
      </w:r>
      <w:r w:rsidR="00307B35">
        <w:rPr>
          <w:rFonts w:ascii="Times New Roman" w:hAnsi="Times New Roman"/>
          <w:sz w:val="28"/>
          <w:szCs w:val="28"/>
          <w:lang w:eastAsia="ar-SA"/>
        </w:rPr>
        <w:t>413,7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тис. грн.(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="00307B35">
        <w:rPr>
          <w:rFonts w:ascii="Times New Roman" w:hAnsi="Times New Roman"/>
          <w:sz w:val="28"/>
          <w:szCs w:val="28"/>
          <w:lang w:eastAsia="ar-SA"/>
        </w:rPr>
        <w:t>3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="00307B35">
        <w:rPr>
          <w:rFonts w:ascii="Times New Roman" w:hAnsi="Times New Roman"/>
          <w:sz w:val="28"/>
          <w:szCs w:val="28"/>
          <w:lang w:eastAsia="ar-SA"/>
        </w:rPr>
        <w:t>9</w:t>
      </w:r>
      <w:r w:rsidRPr="00F11861">
        <w:rPr>
          <w:rFonts w:ascii="Times New Roman" w:hAnsi="Times New Roman"/>
          <w:sz w:val="28"/>
          <w:szCs w:val="28"/>
          <w:lang w:eastAsia="ar-SA"/>
        </w:rPr>
        <w:t>%),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606BA">
        <w:rPr>
          <w:rFonts w:ascii="Times New Roman" w:hAnsi="Times New Roman"/>
          <w:sz w:val="28"/>
          <w:szCs w:val="28"/>
          <w:lang w:eastAsia="ar-SA"/>
        </w:rPr>
        <w:t xml:space="preserve">а саме  </w:t>
      </w:r>
      <w:r w:rsidR="008130EF">
        <w:rPr>
          <w:rFonts w:ascii="Times New Roman" w:hAnsi="Times New Roman"/>
          <w:sz w:val="28"/>
          <w:szCs w:val="28"/>
          <w:lang w:eastAsia="ar-SA"/>
        </w:rPr>
        <w:t xml:space="preserve">за виготовлення, експертизу проектно-кошторисної документації </w:t>
      </w:r>
      <w:r w:rsidR="0083687C">
        <w:rPr>
          <w:rFonts w:ascii="Times New Roman" w:hAnsi="Times New Roman"/>
          <w:sz w:val="28"/>
          <w:szCs w:val="28"/>
          <w:lang w:eastAsia="ar-SA"/>
        </w:rPr>
        <w:t xml:space="preserve">та фактичне виконання робіт з </w:t>
      </w:r>
      <w:r w:rsidRPr="00C606BA">
        <w:rPr>
          <w:rFonts w:ascii="Times New Roman" w:hAnsi="Times New Roman"/>
          <w:sz w:val="28"/>
          <w:szCs w:val="28"/>
          <w:lang w:eastAsia="ar-SA"/>
        </w:rPr>
        <w:t>реконструкці</w:t>
      </w:r>
      <w:r w:rsidR="0083687C">
        <w:rPr>
          <w:rFonts w:ascii="Times New Roman" w:hAnsi="Times New Roman"/>
          <w:sz w:val="28"/>
          <w:szCs w:val="28"/>
          <w:lang w:eastAsia="ar-SA"/>
        </w:rPr>
        <w:t>ї вуличного освітлення</w:t>
      </w:r>
      <w:r w:rsidR="00E36CCA">
        <w:rPr>
          <w:rFonts w:ascii="Times New Roman" w:hAnsi="Times New Roman"/>
          <w:sz w:val="28"/>
          <w:szCs w:val="28"/>
          <w:lang w:eastAsia="ar-SA"/>
        </w:rPr>
        <w:t xml:space="preserve"> громади.</w:t>
      </w:r>
      <w:r w:rsidRPr="00C606BA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13DC1" w:rsidRDefault="00413DC1" w:rsidP="00856EF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F11861">
        <w:rPr>
          <w:rFonts w:ascii="TimesNewRomanPSMT" w:hAnsi="TimesNewRomanPSMT"/>
          <w:color w:val="000000"/>
          <w:sz w:val="28"/>
          <w:szCs w:val="28"/>
        </w:rPr>
        <w:t xml:space="preserve">Структура видатків бюджету громади за </w:t>
      </w:r>
      <w:r w:rsidR="00F70D85">
        <w:rPr>
          <w:rFonts w:asciiTheme="minorHAnsi" w:hAnsiTheme="minorHAnsi"/>
          <w:color w:val="000000"/>
          <w:sz w:val="28"/>
          <w:szCs w:val="28"/>
        </w:rPr>
        <w:t>1 квартал</w:t>
      </w:r>
      <w:r w:rsidRPr="00F11861">
        <w:rPr>
          <w:rFonts w:ascii="TimesNewRomanPSMT" w:hAnsi="TimesNewRomanPSMT"/>
          <w:color w:val="000000"/>
          <w:sz w:val="28"/>
          <w:szCs w:val="28"/>
        </w:rPr>
        <w:t xml:space="preserve"> 20</w:t>
      </w:r>
      <w:r w:rsidR="00F70D85">
        <w:rPr>
          <w:rFonts w:asciiTheme="minorHAnsi" w:hAnsiTheme="minorHAnsi"/>
          <w:color w:val="000000"/>
          <w:sz w:val="28"/>
          <w:szCs w:val="28"/>
        </w:rPr>
        <w:t>20</w:t>
      </w:r>
      <w:r w:rsidRPr="00F11861">
        <w:rPr>
          <w:rFonts w:ascii="TimesNewRomanPSMT" w:hAnsi="TimesNewRomanPSMT"/>
          <w:color w:val="000000"/>
          <w:sz w:val="28"/>
          <w:szCs w:val="28"/>
        </w:rPr>
        <w:t xml:space="preserve"> року за економічною класифікацією характеризується даними, наведеними у рис.5.</w:t>
      </w:r>
    </w:p>
    <w:p w:rsidR="00413DC1" w:rsidRPr="00F136A6" w:rsidRDefault="00413DC1" w:rsidP="00856EFF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13DC1" w:rsidRDefault="00413DC1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13DC1" w:rsidRDefault="00413DC1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13DC1" w:rsidRDefault="00413DC1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13DC1" w:rsidRDefault="00413DC1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13DC1" w:rsidRDefault="00413DC1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CA743E" w:rsidRDefault="00CA743E" w:rsidP="00856EFF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413DC1" w:rsidRDefault="00413DC1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Рис. 5.  Структура видаткової частини міського бюджету за економічною класифікацією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видатків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за </w:t>
      </w:r>
      <w:r w:rsidR="00930C35">
        <w:rPr>
          <w:rFonts w:asciiTheme="minorHAnsi" w:hAnsiTheme="minorHAnsi"/>
          <w:b/>
          <w:bCs/>
          <w:color w:val="000000"/>
          <w:sz w:val="28"/>
          <w:szCs w:val="28"/>
        </w:rPr>
        <w:t>1 квартал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20</w:t>
      </w:r>
      <w:r w:rsidR="00930C35">
        <w:rPr>
          <w:rFonts w:asciiTheme="minorHAnsi" w:hAnsiTheme="minorHAnsi"/>
          <w:b/>
          <w:bCs/>
          <w:color w:val="000000"/>
          <w:sz w:val="28"/>
          <w:szCs w:val="28"/>
        </w:rPr>
        <w:t>20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року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(загальний, спеціальний фонди)</w:t>
      </w:r>
    </w:p>
    <w:p w:rsidR="00413DC1" w:rsidRDefault="00413DC1" w:rsidP="00856EFF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13DC1" w:rsidRPr="00F136A6" w:rsidRDefault="00413DC1" w:rsidP="00856EF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413DC1" w:rsidRPr="00F136A6" w:rsidRDefault="0074071B" w:rsidP="00856EF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noProof/>
          <w:color w:val="0000FF"/>
          <w:sz w:val="28"/>
          <w:szCs w:val="28"/>
          <w:lang w:eastAsia="uk-UA"/>
        </w:rPr>
        <w:drawing>
          <wp:inline distT="0" distB="0" distL="0" distR="0" wp14:anchorId="230327BF" wp14:editId="4B189A7C">
            <wp:extent cx="6438900" cy="6172200"/>
            <wp:effectExtent l="0" t="0" r="0" b="0"/>
            <wp:docPr id="11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413DC1" w:rsidRDefault="00413DC1" w:rsidP="00856EF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36A6">
        <w:rPr>
          <w:rFonts w:ascii="Times New Roman" w:hAnsi="Times New Roman"/>
          <w:sz w:val="28"/>
          <w:szCs w:val="28"/>
          <w:lang w:eastAsia="ar-SA"/>
        </w:rPr>
        <w:tab/>
        <w:t xml:space="preserve">       </w:t>
      </w:r>
    </w:p>
    <w:p w:rsidR="00413DC1" w:rsidRDefault="00413DC1" w:rsidP="00856EF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0451E">
        <w:rPr>
          <w:rFonts w:ascii="Times New Roman" w:hAnsi="Times New Roman"/>
          <w:sz w:val="28"/>
          <w:szCs w:val="28"/>
          <w:lang w:eastAsia="ru-RU"/>
        </w:rPr>
        <w:t>Підводячи підсумки виконання бюджету міської об</w:t>
      </w:r>
      <w:r>
        <w:rPr>
          <w:rFonts w:ascii="Times New Roman" w:hAnsi="Times New Roman"/>
          <w:sz w:val="28"/>
          <w:szCs w:val="28"/>
          <w:lang w:eastAsia="ru-RU"/>
        </w:rPr>
        <w:t xml:space="preserve">'єднаної територіальної громади </w:t>
      </w:r>
      <w:r w:rsidRPr="0070451E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F70D85">
        <w:rPr>
          <w:rFonts w:ascii="Times New Roman" w:hAnsi="Times New Roman"/>
          <w:sz w:val="28"/>
          <w:szCs w:val="28"/>
          <w:lang w:eastAsia="ru-RU"/>
        </w:rPr>
        <w:t>1 квартал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51E">
        <w:rPr>
          <w:rFonts w:ascii="Times New Roman" w:hAnsi="Times New Roman"/>
          <w:sz w:val="28"/>
          <w:szCs w:val="28"/>
          <w:lang w:eastAsia="ru-RU"/>
        </w:rPr>
        <w:t>поточного року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23F7">
        <w:rPr>
          <w:rFonts w:ascii="Times New Roman" w:hAnsi="Times New Roman"/>
          <w:sz w:val="28"/>
          <w:szCs w:val="28"/>
          <w:lang w:eastAsia="ru-RU"/>
        </w:rPr>
        <w:t>дох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r w:rsidRPr="00C223F7">
        <w:rPr>
          <w:rFonts w:ascii="Times New Roman" w:hAnsi="Times New Roman"/>
          <w:sz w:val="28"/>
          <w:szCs w:val="28"/>
          <w:lang w:eastAsia="ru-RU"/>
        </w:rPr>
        <w:t>дна</w:t>
      </w:r>
      <w:r>
        <w:rPr>
          <w:rFonts w:ascii="Times New Roman" w:hAnsi="Times New Roman"/>
          <w:sz w:val="28"/>
          <w:szCs w:val="28"/>
          <w:lang w:eastAsia="ru-RU"/>
        </w:rPr>
        <w:t xml:space="preserve"> частина </w:t>
      </w:r>
      <w:r w:rsidRPr="00C223F7">
        <w:rPr>
          <w:rFonts w:ascii="Times New Roman" w:hAnsi="Times New Roman"/>
          <w:sz w:val="28"/>
          <w:szCs w:val="28"/>
          <w:lang w:eastAsia="ru-RU"/>
        </w:rPr>
        <w:t>загально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C223F7">
        <w:rPr>
          <w:rFonts w:ascii="Times New Roman" w:hAnsi="Times New Roman"/>
          <w:sz w:val="28"/>
          <w:szCs w:val="28"/>
          <w:lang w:eastAsia="ru-RU"/>
        </w:rPr>
        <w:t xml:space="preserve"> та спеціально</w:t>
      </w:r>
      <w:r>
        <w:rPr>
          <w:rFonts w:ascii="Times New Roman" w:hAnsi="Times New Roman"/>
          <w:sz w:val="28"/>
          <w:szCs w:val="28"/>
          <w:lang w:eastAsia="ru-RU"/>
        </w:rPr>
        <w:t>го фондів</w:t>
      </w:r>
      <w:r w:rsidRPr="00C223F7">
        <w:rPr>
          <w:rFonts w:ascii="Times New Roman" w:hAnsi="Times New Roman"/>
          <w:sz w:val="28"/>
          <w:szCs w:val="28"/>
          <w:lang w:eastAsia="ru-RU"/>
        </w:rPr>
        <w:t xml:space="preserve"> становить </w:t>
      </w:r>
      <w:r w:rsidR="00AF6142">
        <w:rPr>
          <w:rFonts w:ascii="Times New Roman" w:hAnsi="Times New Roman"/>
          <w:sz w:val="28"/>
          <w:szCs w:val="28"/>
          <w:lang w:eastAsia="ru-RU"/>
        </w:rPr>
        <w:t>37289,1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23F7">
        <w:rPr>
          <w:rFonts w:ascii="Times New Roman" w:hAnsi="Times New Roman"/>
          <w:sz w:val="28"/>
          <w:szCs w:val="28"/>
          <w:lang w:eastAsia="ru-RU"/>
        </w:rPr>
        <w:t>тис.грн</w:t>
      </w:r>
      <w:proofErr w:type="spellEnd"/>
      <w:r w:rsidRPr="00C223F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335BD">
        <w:rPr>
          <w:rFonts w:ascii="Times New Roman" w:hAnsi="Times New Roman"/>
          <w:sz w:val="28"/>
          <w:szCs w:val="28"/>
          <w:lang w:eastAsia="ru-RU"/>
        </w:rPr>
        <w:t>(1</w:t>
      </w:r>
      <w:r w:rsidR="00035968" w:rsidRPr="007335BD">
        <w:rPr>
          <w:rFonts w:ascii="Times New Roman" w:hAnsi="Times New Roman"/>
          <w:sz w:val="28"/>
          <w:szCs w:val="28"/>
          <w:lang w:eastAsia="ru-RU"/>
        </w:rPr>
        <w:t>14</w:t>
      </w:r>
      <w:r w:rsidRPr="007335BD">
        <w:rPr>
          <w:rFonts w:ascii="Times New Roman" w:hAnsi="Times New Roman"/>
          <w:sz w:val="28"/>
          <w:szCs w:val="28"/>
          <w:lang w:eastAsia="ru-RU"/>
        </w:rPr>
        <w:t>% від уточненого плану на вказаний період).</w:t>
      </w:r>
      <w:r w:rsidRPr="007045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Видатки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по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загальному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спеціальному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фондах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виконано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загальну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суму – </w:t>
      </w:r>
      <w:r w:rsidR="00463965">
        <w:rPr>
          <w:rFonts w:ascii="Times New Roman" w:hAnsi="Times New Roman"/>
          <w:sz w:val="28"/>
          <w:szCs w:val="28"/>
          <w:lang w:val="ru-RU" w:eastAsia="ru-RU"/>
        </w:rPr>
        <w:t>36941,7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тис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.</w:t>
      </w:r>
      <w:proofErr w:type="gram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A97DB7">
        <w:rPr>
          <w:rFonts w:ascii="Times New Roman" w:hAnsi="Times New Roman"/>
          <w:sz w:val="28"/>
          <w:szCs w:val="28"/>
          <w:lang w:val="ru-RU" w:eastAsia="ru-RU"/>
        </w:rPr>
        <w:t>г</w:t>
      </w:r>
      <w:proofErr w:type="gramEnd"/>
      <w:r w:rsidRPr="00A97DB7">
        <w:rPr>
          <w:rFonts w:ascii="Times New Roman" w:hAnsi="Times New Roman"/>
          <w:sz w:val="28"/>
          <w:szCs w:val="28"/>
          <w:lang w:val="ru-RU" w:eastAsia="ru-RU"/>
        </w:rPr>
        <w:t>рн., (</w:t>
      </w:r>
      <w:r w:rsidR="00525A9F">
        <w:rPr>
          <w:rFonts w:ascii="Times New Roman" w:hAnsi="Times New Roman"/>
          <w:sz w:val="28"/>
          <w:szCs w:val="28"/>
          <w:lang w:val="ru-RU" w:eastAsia="ru-RU"/>
        </w:rPr>
        <w:t>63,8</w:t>
      </w:r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%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уточненого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плану на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вказаний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період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). </w:t>
      </w:r>
    </w:p>
    <w:p w:rsidR="00413DC1" w:rsidRPr="00073F1F" w:rsidRDefault="00073F1F" w:rsidP="00856EF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4F63CB">
        <w:rPr>
          <w:rFonts w:ascii="Times New Roman" w:hAnsi="Times New Roman"/>
          <w:sz w:val="28"/>
          <w:szCs w:val="28"/>
          <w:lang w:eastAsia="ru-RU"/>
        </w:rPr>
        <w:t xml:space="preserve">Громадою забезпечено виплату </w:t>
      </w:r>
      <w:r w:rsidR="00413DC1" w:rsidRPr="004F63CB">
        <w:rPr>
          <w:rFonts w:ascii="Times New Roman" w:hAnsi="Times New Roman"/>
          <w:sz w:val="28"/>
          <w:szCs w:val="28"/>
          <w:lang w:eastAsia="ru-RU"/>
        </w:rPr>
        <w:t>заробітн</w:t>
      </w:r>
      <w:r w:rsidRPr="004F63CB">
        <w:rPr>
          <w:rFonts w:ascii="Times New Roman" w:hAnsi="Times New Roman"/>
          <w:sz w:val="28"/>
          <w:szCs w:val="28"/>
          <w:lang w:eastAsia="ru-RU"/>
        </w:rPr>
        <w:t>ої</w:t>
      </w:r>
      <w:r w:rsidR="00413DC1" w:rsidRPr="004F63CB">
        <w:rPr>
          <w:rFonts w:ascii="Times New Roman" w:hAnsi="Times New Roman"/>
          <w:sz w:val="28"/>
          <w:szCs w:val="28"/>
          <w:lang w:eastAsia="ru-RU"/>
        </w:rPr>
        <w:t xml:space="preserve"> плат</w:t>
      </w:r>
      <w:r w:rsidRPr="004F63CB">
        <w:rPr>
          <w:rFonts w:ascii="Times New Roman" w:hAnsi="Times New Roman"/>
          <w:sz w:val="28"/>
          <w:szCs w:val="28"/>
          <w:lang w:eastAsia="ru-RU"/>
        </w:rPr>
        <w:t>и</w:t>
      </w:r>
      <w:r w:rsidR="00413DC1" w:rsidRPr="004F63CB">
        <w:rPr>
          <w:rFonts w:ascii="Times New Roman" w:hAnsi="Times New Roman"/>
          <w:sz w:val="28"/>
          <w:szCs w:val="28"/>
          <w:lang w:eastAsia="ru-RU"/>
        </w:rPr>
        <w:t xml:space="preserve"> працівникам бюджетної сфери,</w:t>
      </w:r>
      <w:r w:rsidR="00B17EFD" w:rsidRPr="004F63CB">
        <w:rPr>
          <w:rFonts w:ascii="Times New Roman" w:hAnsi="Times New Roman"/>
          <w:sz w:val="28"/>
          <w:szCs w:val="28"/>
          <w:lang w:eastAsia="ru-RU"/>
        </w:rPr>
        <w:t xml:space="preserve"> водночас, </w:t>
      </w:r>
      <w:r w:rsidR="00413DC1" w:rsidRPr="004F63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7EFD" w:rsidRPr="004F63CB">
        <w:rPr>
          <w:rFonts w:ascii="Times New Roman" w:hAnsi="Times New Roman"/>
          <w:sz w:val="28"/>
          <w:szCs w:val="28"/>
          <w:lang w:eastAsia="ru-RU"/>
        </w:rPr>
        <w:t>с</w:t>
      </w:r>
      <w:proofErr w:type="spellStart"/>
      <w:r w:rsidR="00B17EFD" w:rsidRPr="004F63CB">
        <w:rPr>
          <w:rFonts w:ascii="Times New Roman" w:hAnsi="Times New Roman"/>
          <w:sz w:val="28"/>
          <w:szCs w:val="28"/>
          <w:lang w:val="ru-RU" w:eastAsia="ru-RU"/>
        </w:rPr>
        <w:t>таном</w:t>
      </w:r>
      <w:proofErr w:type="spellEnd"/>
      <w:r w:rsidR="00B17EFD" w:rsidRPr="004F63CB">
        <w:rPr>
          <w:rFonts w:ascii="Times New Roman" w:hAnsi="Times New Roman"/>
          <w:sz w:val="28"/>
          <w:szCs w:val="28"/>
          <w:lang w:val="ru-RU" w:eastAsia="ru-RU"/>
        </w:rPr>
        <w:t xml:space="preserve"> на 01.04.2020 року</w:t>
      </w:r>
      <w:r w:rsidR="00B17EFD" w:rsidRPr="004F63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7EFD" w:rsidRPr="004F63CB">
        <w:rPr>
          <w:rFonts w:ascii="Times New Roman" w:hAnsi="Times New Roman"/>
          <w:sz w:val="28"/>
          <w:szCs w:val="28"/>
          <w:lang w:eastAsia="ar-SA"/>
        </w:rPr>
        <w:t>існує кредиторська заборгованість по нарахуванню на оплату праці педагогічним працівникам загальноосвітніх закладів, які фінансуються за рахунок освітньої субвенції з державного бюджету</w:t>
      </w:r>
      <w:r w:rsidR="008477F8">
        <w:rPr>
          <w:rFonts w:ascii="Times New Roman" w:hAnsi="Times New Roman"/>
          <w:sz w:val="28"/>
          <w:szCs w:val="28"/>
          <w:lang w:eastAsia="ar-SA"/>
        </w:rPr>
        <w:t xml:space="preserve"> у сумі 19,7 </w:t>
      </w:r>
      <w:proofErr w:type="spellStart"/>
      <w:r w:rsidR="008477F8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8477F8">
        <w:rPr>
          <w:rFonts w:ascii="Times New Roman" w:hAnsi="Times New Roman"/>
          <w:sz w:val="28"/>
          <w:szCs w:val="28"/>
          <w:lang w:eastAsia="ar-SA"/>
        </w:rPr>
        <w:t>.</w:t>
      </w:r>
      <w:r w:rsidR="004F63CB" w:rsidRPr="004F63CB">
        <w:rPr>
          <w:rFonts w:ascii="Times New Roman" w:hAnsi="Times New Roman"/>
          <w:sz w:val="28"/>
          <w:szCs w:val="28"/>
          <w:lang w:eastAsia="ar-SA"/>
        </w:rPr>
        <w:t>. Також,</w:t>
      </w:r>
      <w:r w:rsidR="00B17EFD" w:rsidRPr="004F63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3DC1" w:rsidRPr="004F63CB">
        <w:rPr>
          <w:rFonts w:ascii="Times New Roman" w:hAnsi="Times New Roman"/>
          <w:sz w:val="28"/>
          <w:szCs w:val="28"/>
          <w:lang w:eastAsia="ru-RU"/>
        </w:rPr>
        <w:t>проведено своєчасно та в повному обсязі</w:t>
      </w:r>
      <w:r w:rsidRPr="004F63CB">
        <w:rPr>
          <w:rFonts w:ascii="Times New Roman" w:hAnsi="Times New Roman"/>
          <w:sz w:val="28"/>
          <w:szCs w:val="28"/>
          <w:lang w:eastAsia="ru-RU"/>
        </w:rPr>
        <w:t xml:space="preserve"> видатки</w:t>
      </w:r>
      <w:r w:rsidR="0088642F" w:rsidRPr="004F63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03E8" w:rsidRPr="004F63CB">
        <w:rPr>
          <w:rFonts w:ascii="Times New Roman" w:hAnsi="Times New Roman"/>
          <w:sz w:val="28"/>
          <w:szCs w:val="28"/>
          <w:lang w:eastAsia="ru-RU"/>
        </w:rPr>
        <w:t>з</w:t>
      </w:r>
      <w:r w:rsidR="0088642F" w:rsidRPr="004F63CB">
        <w:rPr>
          <w:rFonts w:ascii="Times New Roman" w:hAnsi="Times New Roman"/>
          <w:sz w:val="28"/>
          <w:szCs w:val="28"/>
          <w:lang w:eastAsia="ru-RU"/>
        </w:rPr>
        <w:t>а</w:t>
      </w:r>
      <w:r w:rsidR="0088642F" w:rsidRPr="004F63C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8642F" w:rsidRPr="0044120F">
        <w:rPr>
          <w:rFonts w:ascii="Times New Roman" w:hAnsi="Times New Roman"/>
          <w:sz w:val="28"/>
          <w:szCs w:val="28"/>
          <w:lang w:eastAsia="ar-SA"/>
        </w:rPr>
        <w:t>спожиті бюджетними установами енергоносії і комунальні послуги</w:t>
      </w:r>
      <w:r w:rsidR="00B17EFD">
        <w:rPr>
          <w:rFonts w:ascii="Times New Roman" w:hAnsi="Times New Roman"/>
          <w:sz w:val="28"/>
          <w:szCs w:val="28"/>
          <w:lang w:eastAsia="ar-SA"/>
        </w:rPr>
        <w:t>.</w:t>
      </w:r>
      <w:r w:rsidR="00413DC1" w:rsidRPr="00073F1F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</w:p>
    <w:p w:rsidR="00413DC1" w:rsidRDefault="00413DC1" w:rsidP="00B2509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Станом на 01 </w:t>
      </w:r>
      <w:r w:rsidR="00AE2885">
        <w:rPr>
          <w:rFonts w:ascii="Times New Roman" w:hAnsi="Times New Roman"/>
          <w:sz w:val="28"/>
          <w:szCs w:val="28"/>
          <w:lang w:eastAsia="ar-SA"/>
        </w:rPr>
        <w:t>квіт</w:t>
      </w:r>
      <w:r>
        <w:rPr>
          <w:rFonts w:ascii="Times New Roman" w:hAnsi="Times New Roman"/>
          <w:sz w:val="28"/>
          <w:szCs w:val="28"/>
          <w:lang w:eastAsia="ar-SA"/>
        </w:rPr>
        <w:t>ня 20</w:t>
      </w:r>
      <w:r w:rsidR="00AE2885">
        <w:rPr>
          <w:rFonts w:ascii="Times New Roman" w:hAnsi="Times New Roman"/>
          <w:sz w:val="28"/>
          <w:szCs w:val="28"/>
          <w:lang w:eastAsia="ar-SA"/>
        </w:rPr>
        <w:t>20</w:t>
      </w:r>
      <w:r>
        <w:rPr>
          <w:rFonts w:ascii="Times New Roman" w:hAnsi="Times New Roman"/>
          <w:sz w:val="28"/>
          <w:szCs w:val="28"/>
          <w:lang w:eastAsia="ar-SA"/>
        </w:rPr>
        <w:t xml:space="preserve"> року існує дебіторська заборгованість  по загальному фонду у сумі </w:t>
      </w:r>
      <w:r w:rsidR="00181689">
        <w:rPr>
          <w:rFonts w:ascii="Times New Roman" w:hAnsi="Times New Roman"/>
          <w:sz w:val="28"/>
          <w:szCs w:val="28"/>
          <w:lang w:eastAsia="ar-SA"/>
        </w:rPr>
        <w:t>71,4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., у тому числі: по придбанню предметів, матеріалів,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обладнання та інвентарю </w:t>
      </w:r>
      <w:r w:rsidRPr="00CA743E">
        <w:rPr>
          <w:rFonts w:ascii="Times New Roman" w:hAnsi="Times New Roman"/>
          <w:sz w:val="28"/>
          <w:szCs w:val="28"/>
          <w:lang w:eastAsia="ar-SA"/>
        </w:rPr>
        <w:t>(передплата періодичних видань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>)</w:t>
      </w:r>
      <w:r w:rsidR="00A63994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Також існує дебіторська заборгованість  по спеціальному фонду у сумі </w:t>
      </w:r>
      <w:r w:rsidR="00E3666A">
        <w:rPr>
          <w:rFonts w:ascii="Times New Roman" w:hAnsi="Times New Roman"/>
          <w:sz w:val="28"/>
          <w:szCs w:val="28"/>
          <w:lang w:eastAsia="ar-SA"/>
        </w:rPr>
        <w:t>122,8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., у тому числі: по придбанню продуктів харчування</w:t>
      </w:r>
      <w:r w:rsidR="00E3666A">
        <w:rPr>
          <w:rFonts w:ascii="Times New Roman" w:hAnsi="Times New Roman"/>
          <w:sz w:val="28"/>
          <w:szCs w:val="28"/>
          <w:lang w:eastAsia="ar-SA"/>
        </w:rPr>
        <w:t xml:space="preserve"> для закладів освіти.</w:t>
      </w:r>
    </w:p>
    <w:p w:rsidR="00413DC1" w:rsidRDefault="00413DC1" w:rsidP="00856EF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13DC1" w:rsidRDefault="00413DC1" w:rsidP="00856EF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13DC1" w:rsidRDefault="00413DC1" w:rsidP="00856EF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13DC1" w:rsidRDefault="00413DC1" w:rsidP="00856EFF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136A6">
        <w:rPr>
          <w:rFonts w:ascii="Times New Roman" w:hAnsi="Times New Roman"/>
          <w:sz w:val="28"/>
          <w:szCs w:val="28"/>
          <w:lang w:eastAsia="ar-SA"/>
        </w:rPr>
        <w:t xml:space="preserve">Начальник фінансового управління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      А. </w:t>
      </w:r>
      <w:proofErr w:type="spellStart"/>
      <w:r w:rsidRPr="00F136A6">
        <w:rPr>
          <w:rFonts w:ascii="Times New Roman" w:hAnsi="Times New Roman"/>
          <w:sz w:val="28"/>
          <w:szCs w:val="28"/>
          <w:lang w:eastAsia="ar-SA"/>
        </w:rPr>
        <w:t>Колпак</w:t>
      </w:r>
      <w:proofErr w:type="spellEnd"/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p w:rsidR="00413DC1" w:rsidRDefault="00413DC1" w:rsidP="00856EFF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sectPr w:rsidR="00413DC1" w:rsidSect="0083385F">
      <w:pgSz w:w="11906" w:h="16838"/>
      <w:pgMar w:top="567" w:right="567" w:bottom="567" w:left="1080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C19" w:rsidRDefault="006B6C19" w:rsidP="00A9228A">
      <w:pPr>
        <w:spacing w:after="0" w:line="240" w:lineRule="auto"/>
      </w:pPr>
      <w:r>
        <w:separator/>
      </w:r>
    </w:p>
  </w:endnote>
  <w:endnote w:type="continuationSeparator" w:id="0">
    <w:p w:rsidR="006B6C19" w:rsidRDefault="006B6C19" w:rsidP="00A9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C19" w:rsidRDefault="006B6C19" w:rsidP="00A9228A">
      <w:pPr>
        <w:spacing w:after="0" w:line="240" w:lineRule="auto"/>
      </w:pPr>
      <w:r>
        <w:separator/>
      </w:r>
    </w:p>
  </w:footnote>
  <w:footnote w:type="continuationSeparator" w:id="0">
    <w:p w:rsidR="006B6C19" w:rsidRDefault="006B6C19" w:rsidP="00A9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55FD"/>
    <w:multiLevelType w:val="hybridMultilevel"/>
    <w:tmpl w:val="CBC87196"/>
    <w:lvl w:ilvl="0" w:tplc="EB8013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55"/>
    <w:rsid w:val="00000AAB"/>
    <w:rsid w:val="000017B8"/>
    <w:rsid w:val="00001A54"/>
    <w:rsid w:val="00006098"/>
    <w:rsid w:val="00006B4A"/>
    <w:rsid w:val="00007543"/>
    <w:rsid w:val="00011C1A"/>
    <w:rsid w:val="0001415E"/>
    <w:rsid w:val="000151F3"/>
    <w:rsid w:val="000177C5"/>
    <w:rsid w:val="0002172C"/>
    <w:rsid w:val="000221CC"/>
    <w:rsid w:val="00023988"/>
    <w:rsid w:val="000242F5"/>
    <w:rsid w:val="00024E91"/>
    <w:rsid w:val="00024F11"/>
    <w:rsid w:val="00031CDE"/>
    <w:rsid w:val="00033298"/>
    <w:rsid w:val="00033454"/>
    <w:rsid w:val="00035968"/>
    <w:rsid w:val="00036055"/>
    <w:rsid w:val="00037EC7"/>
    <w:rsid w:val="00040E94"/>
    <w:rsid w:val="00041BF6"/>
    <w:rsid w:val="00045058"/>
    <w:rsid w:val="00045F16"/>
    <w:rsid w:val="00047F61"/>
    <w:rsid w:val="00050F87"/>
    <w:rsid w:val="00051B8E"/>
    <w:rsid w:val="00052C4E"/>
    <w:rsid w:val="000544DF"/>
    <w:rsid w:val="00055843"/>
    <w:rsid w:val="000577AF"/>
    <w:rsid w:val="00057B28"/>
    <w:rsid w:val="00060045"/>
    <w:rsid w:val="000616C6"/>
    <w:rsid w:val="00061CF1"/>
    <w:rsid w:val="00062E5E"/>
    <w:rsid w:val="00066463"/>
    <w:rsid w:val="00070B66"/>
    <w:rsid w:val="000731E3"/>
    <w:rsid w:val="000736EC"/>
    <w:rsid w:val="00073F1F"/>
    <w:rsid w:val="00077BE0"/>
    <w:rsid w:val="00080C0F"/>
    <w:rsid w:val="00080D4C"/>
    <w:rsid w:val="00087E76"/>
    <w:rsid w:val="000900CA"/>
    <w:rsid w:val="000918D3"/>
    <w:rsid w:val="0009293C"/>
    <w:rsid w:val="000950DF"/>
    <w:rsid w:val="0009530A"/>
    <w:rsid w:val="000A0EDC"/>
    <w:rsid w:val="000A177F"/>
    <w:rsid w:val="000A290B"/>
    <w:rsid w:val="000B64CF"/>
    <w:rsid w:val="000C1C52"/>
    <w:rsid w:val="000C23B0"/>
    <w:rsid w:val="000C4FF5"/>
    <w:rsid w:val="000C684D"/>
    <w:rsid w:val="000C76FF"/>
    <w:rsid w:val="000C7F73"/>
    <w:rsid w:val="000D05AD"/>
    <w:rsid w:val="000D103D"/>
    <w:rsid w:val="000D4B1F"/>
    <w:rsid w:val="000D64A2"/>
    <w:rsid w:val="000E5E56"/>
    <w:rsid w:val="000E5EFC"/>
    <w:rsid w:val="000E6D40"/>
    <w:rsid w:val="000F04B8"/>
    <w:rsid w:val="000F4575"/>
    <w:rsid w:val="000F68B6"/>
    <w:rsid w:val="000F79CE"/>
    <w:rsid w:val="001002FF"/>
    <w:rsid w:val="00101548"/>
    <w:rsid w:val="001026B3"/>
    <w:rsid w:val="0010404C"/>
    <w:rsid w:val="00106B77"/>
    <w:rsid w:val="00110664"/>
    <w:rsid w:val="0011207F"/>
    <w:rsid w:val="001124F1"/>
    <w:rsid w:val="00112528"/>
    <w:rsid w:val="00112698"/>
    <w:rsid w:val="00114DB4"/>
    <w:rsid w:val="00115626"/>
    <w:rsid w:val="001159FA"/>
    <w:rsid w:val="00120A55"/>
    <w:rsid w:val="00121F72"/>
    <w:rsid w:val="00122FFE"/>
    <w:rsid w:val="001253C4"/>
    <w:rsid w:val="00127949"/>
    <w:rsid w:val="001279AA"/>
    <w:rsid w:val="0013002D"/>
    <w:rsid w:val="0013250D"/>
    <w:rsid w:val="0013268B"/>
    <w:rsid w:val="00132B5A"/>
    <w:rsid w:val="00132FE2"/>
    <w:rsid w:val="001359C1"/>
    <w:rsid w:val="001407D6"/>
    <w:rsid w:val="001413FC"/>
    <w:rsid w:val="00144370"/>
    <w:rsid w:val="0014672A"/>
    <w:rsid w:val="00151680"/>
    <w:rsid w:val="001519A3"/>
    <w:rsid w:val="00153461"/>
    <w:rsid w:val="00157A1F"/>
    <w:rsid w:val="001601F6"/>
    <w:rsid w:val="00161B09"/>
    <w:rsid w:val="00161F54"/>
    <w:rsid w:val="001638F5"/>
    <w:rsid w:val="00163DF8"/>
    <w:rsid w:val="001654B5"/>
    <w:rsid w:val="00165795"/>
    <w:rsid w:val="00170FCF"/>
    <w:rsid w:val="00176952"/>
    <w:rsid w:val="00177375"/>
    <w:rsid w:val="001775EF"/>
    <w:rsid w:val="00181278"/>
    <w:rsid w:val="00181689"/>
    <w:rsid w:val="001823E1"/>
    <w:rsid w:val="00184F86"/>
    <w:rsid w:val="00186EE2"/>
    <w:rsid w:val="00187D67"/>
    <w:rsid w:val="001923CB"/>
    <w:rsid w:val="00194E16"/>
    <w:rsid w:val="00196B16"/>
    <w:rsid w:val="001A0041"/>
    <w:rsid w:val="001A1556"/>
    <w:rsid w:val="001A1845"/>
    <w:rsid w:val="001A2A8B"/>
    <w:rsid w:val="001A3E44"/>
    <w:rsid w:val="001A4F21"/>
    <w:rsid w:val="001A5EAA"/>
    <w:rsid w:val="001A6758"/>
    <w:rsid w:val="001A684B"/>
    <w:rsid w:val="001B55C2"/>
    <w:rsid w:val="001C21B6"/>
    <w:rsid w:val="001C2B66"/>
    <w:rsid w:val="001C4096"/>
    <w:rsid w:val="001C4E02"/>
    <w:rsid w:val="001D177A"/>
    <w:rsid w:val="001D69D3"/>
    <w:rsid w:val="001D6DE6"/>
    <w:rsid w:val="001E3809"/>
    <w:rsid w:val="001E41BF"/>
    <w:rsid w:val="001E4CE0"/>
    <w:rsid w:val="001E7280"/>
    <w:rsid w:val="001E79E8"/>
    <w:rsid w:val="001E7ACA"/>
    <w:rsid w:val="001F0078"/>
    <w:rsid w:val="001F10FC"/>
    <w:rsid w:val="001F20EE"/>
    <w:rsid w:val="001F2E16"/>
    <w:rsid w:val="001F3B86"/>
    <w:rsid w:val="001F40E7"/>
    <w:rsid w:val="001F4BC6"/>
    <w:rsid w:val="001F608B"/>
    <w:rsid w:val="001F7589"/>
    <w:rsid w:val="00205A15"/>
    <w:rsid w:val="00206DAD"/>
    <w:rsid w:val="00211638"/>
    <w:rsid w:val="00214D1E"/>
    <w:rsid w:val="002234BD"/>
    <w:rsid w:val="00225B1D"/>
    <w:rsid w:val="00227A09"/>
    <w:rsid w:val="0023230B"/>
    <w:rsid w:val="00235D31"/>
    <w:rsid w:val="00235F05"/>
    <w:rsid w:val="0023669E"/>
    <w:rsid w:val="002370D6"/>
    <w:rsid w:val="00237C1D"/>
    <w:rsid w:val="00240D30"/>
    <w:rsid w:val="00250A2F"/>
    <w:rsid w:val="00253A62"/>
    <w:rsid w:val="00253AA7"/>
    <w:rsid w:val="00257082"/>
    <w:rsid w:val="00260979"/>
    <w:rsid w:val="00261DDE"/>
    <w:rsid w:val="00262896"/>
    <w:rsid w:val="00264002"/>
    <w:rsid w:val="002660D0"/>
    <w:rsid w:val="00267419"/>
    <w:rsid w:val="00273E59"/>
    <w:rsid w:val="00273F9F"/>
    <w:rsid w:val="00274B3A"/>
    <w:rsid w:val="00275B15"/>
    <w:rsid w:val="00275CE6"/>
    <w:rsid w:val="002769A0"/>
    <w:rsid w:val="002778A8"/>
    <w:rsid w:val="00277912"/>
    <w:rsid w:val="00280294"/>
    <w:rsid w:val="00280B24"/>
    <w:rsid w:val="00282F34"/>
    <w:rsid w:val="00283B9B"/>
    <w:rsid w:val="002858EF"/>
    <w:rsid w:val="00285F7E"/>
    <w:rsid w:val="0029054A"/>
    <w:rsid w:val="00290B12"/>
    <w:rsid w:val="002935CC"/>
    <w:rsid w:val="00293A34"/>
    <w:rsid w:val="00294397"/>
    <w:rsid w:val="00296310"/>
    <w:rsid w:val="00296846"/>
    <w:rsid w:val="0029722B"/>
    <w:rsid w:val="00297A36"/>
    <w:rsid w:val="002A07EC"/>
    <w:rsid w:val="002A2643"/>
    <w:rsid w:val="002A649E"/>
    <w:rsid w:val="002B125C"/>
    <w:rsid w:val="002B2136"/>
    <w:rsid w:val="002B45E1"/>
    <w:rsid w:val="002B4AE0"/>
    <w:rsid w:val="002B57C9"/>
    <w:rsid w:val="002C1689"/>
    <w:rsid w:val="002C1715"/>
    <w:rsid w:val="002C181B"/>
    <w:rsid w:val="002C3245"/>
    <w:rsid w:val="002C477F"/>
    <w:rsid w:val="002C746B"/>
    <w:rsid w:val="002C7D02"/>
    <w:rsid w:val="002D16B2"/>
    <w:rsid w:val="002D16FB"/>
    <w:rsid w:val="002D1F9D"/>
    <w:rsid w:val="002D4FBD"/>
    <w:rsid w:val="002E500E"/>
    <w:rsid w:val="002E54DA"/>
    <w:rsid w:val="002F1D23"/>
    <w:rsid w:val="002F6A0A"/>
    <w:rsid w:val="002F6DD0"/>
    <w:rsid w:val="002F74F8"/>
    <w:rsid w:val="00300272"/>
    <w:rsid w:val="003013E9"/>
    <w:rsid w:val="0030165E"/>
    <w:rsid w:val="0030204D"/>
    <w:rsid w:val="00307B35"/>
    <w:rsid w:val="003120DD"/>
    <w:rsid w:val="00312550"/>
    <w:rsid w:val="00313076"/>
    <w:rsid w:val="003135C1"/>
    <w:rsid w:val="00313A8A"/>
    <w:rsid w:val="003200C7"/>
    <w:rsid w:val="003201E3"/>
    <w:rsid w:val="00320CF6"/>
    <w:rsid w:val="00321692"/>
    <w:rsid w:val="003216D9"/>
    <w:rsid w:val="0032314C"/>
    <w:rsid w:val="00323310"/>
    <w:rsid w:val="003240C7"/>
    <w:rsid w:val="00325FAA"/>
    <w:rsid w:val="00326CA1"/>
    <w:rsid w:val="00327AF7"/>
    <w:rsid w:val="00332998"/>
    <w:rsid w:val="0033364E"/>
    <w:rsid w:val="003338C6"/>
    <w:rsid w:val="00334E48"/>
    <w:rsid w:val="00336319"/>
    <w:rsid w:val="00336AE7"/>
    <w:rsid w:val="00340164"/>
    <w:rsid w:val="00341B4A"/>
    <w:rsid w:val="0034731A"/>
    <w:rsid w:val="00351367"/>
    <w:rsid w:val="00351B3C"/>
    <w:rsid w:val="00356D25"/>
    <w:rsid w:val="00360D14"/>
    <w:rsid w:val="00360EB5"/>
    <w:rsid w:val="00363982"/>
    <w:rsid w:val="003703E8"/>
    <w:rsid w:val="003716F4"/>
    <w:rsid w:val="00371B36"/>
    <w:rsid w:val="00374D74"/>
    <w:rsid w:val="0037589F"/>
    <w:rsid w:val="0038314E"/>
    <w:rsid w:val="00383265"/>
    <w:rsid w:val="003867EA"/>
    <w:rsid w:val="00391602"/>
    <w:rsid w:val="00393504"/>
    <w:rsid w:val="00393CF7"/>
    <w:rsid w:val="00397891"/>
    <w:rsid w:val="003A15FE"/>
    <w:rsid w:val="003A1627"/>
    <w:rsid w:val="003A174C"/>
    <w:rsid w:val="003B1D71"/>
    <w:rsid w:val="003B333C"/>
    <w:rsid w:val="003B44BE"/>
    <w:rsid w:val="003B7105"/>
    <w:rsid w:val="003B718F"/>
    <w:rsid w:val="003B740B"/>
    <w:rsid w:val="003B76E2"/>
    <w:rsid w:val="003C1348"/>
    <w:rsid w:val="003C1F35"/>
    <w:rsid w:val="003C3C73"/>
    <w:rsid w:val="003C42CA"/>
    <w:rsid w:val="003D1DCD"/>
    <w:rsid w:val="003D23F3"/>
    <w:rsid w:val="003D43C8"/>
    <w:rsid w:val="003D52A5"/>
    <w:rsid w:val="003D6EF3"/>
    <w:rsid w:val="003E038D"/>
    <w:rsid w:val="003E17F4"/>
    <w:rsid w:val="003E2BB4"/>
    <w:rsid w:val="003E3AC4"/>
    <w:rsid w:val="003E596D"/>
    <w:rsid w:val="003E78A6"/>
    <w:rsid w:val="003E797C"/>
    <w:rsid w:val="003F1AE5"/>
    <w:rsid w:val="003F4615"/>
    <w:rsid w:val="003F4F62"/>
    <w:rsid w:val="003F71B1"/>
    <w:rsid w:val="0040517C"/>
    <w:rsid w:val="004115BB"/>
    <w:rsid w:val="00413175"/>
    <w:rsid w:val="00413A93"/>
    <w:rsid w:val="00413B3A"/>
    <w:rsid w:val="00413DC1"/>
    <w:rsid w:val="00415D66"/>
    <w:rsid w:val="00415DAF"/>
    <w:rsid w:val="00422615"/>
    <w:rsid w:val="004232D8"/>
    <w:rsid w:val="0042375A"/>
    <w:rsid w:val="004252E4"/>
    <w:rsid w:val="00426F5D"/>
    <w:rsid w:val="0043023E"/>
    <w:rsid w:val="00431BCD"/>
    <w:rsid w:val="00432788"/>
    <w:rsid w:val="00432E3A"/>
    <w:rsid w:val="00435315"/>
    <w:rsid w:val="0044120F"/>
    <w:rsid w:val="004432A4"/>
    <w:rsid w:val="00443AB0"/>
    <w:rsid w:val="00444B9C"/>
    <w:rsid w:val="00450FEF"/>
    <w:rsid w:val="0045127F"/>
    <w:rsid w:val="00457473"/>
    <w:rsid w:val="004575B4"/>
    <w:rsid w:val="004602CC"/>
    <w:rsid w:val="004617A8"/>
    <w:rsid w:val="004636D9"/>
    <w:rsid w:val="00463965"/>
    <w:rsid w:val="00463F7C"/>
    <w:rsid w:val="004658C1"/>
    <w:rsid w:val="004664DE"/>
    <w:rsid w:val="00473835"/>
    <w:rsid w:val="0047530F"/>
    <w:rsid w:val="004770A7"/>
    <w:rsid w:val="00477C48"/>
    <w:rsid w:val="00483330"/>
    <w:rsid w:val="00483777"/>
    <w:rsid w:val="004841DF"/>
    <w:rsid w:val="0048480F"/>
    <w:rsid w:val="00484991"/>
    <w:rsid w:val="0049048A"/>
    <w:rsid w:val="0049137A"/>
    <w:rsid w:val="00491ED7"/>
    <w:rsid w:val="0049379A"/>
    <w:rsid w:val="00493C47"/>
    <w:rsid w:val="00493F2C"/>
    <w:rsid w:val="004A1FCC"/>
    <w:rsid w:val="004A331F"/>
    <w:rsid w:val="004A3F0A"/>
    <w:rsid w:val="004A59D8"/>
    <w:rsid w:val="004A7491"/>
    <w:rsid w:val="004B5F87"/>
    <w:rsid w:val="004B6930"/>
    <w:rsid w:val="004B7FC4"/>
    <w:rsid w:val="004B7FF4"/>
    <w:rsid w:val="004C1EDF"/>
    <w:rsid w:val="004C2DC2"/>
    <w:rsid w:val="004C388F"/>
    <w:rsid w:val="004C3B9C"/>
    <w:rsid w:val="004C3E22"/>
    <w:rsid w:val="004C4319"/>
    <w:rsid w:val="004D10EC"/>
    <w:rsid w:val="004D11BD"/>
    <w:rsid w:val="004D13D8"/>
    <w:rsid w:val="004D29C1"/>
    <w:rsid w:val="004D4F9E"/>
    <w:rsid w:val="004D5134"/>
    <w:rsid w:val="004E3DBD"/>
    <w:rsid w:val="004E3F5A"/>
    <w:rsid w:val="004E5083"/>
    <w:rsid w:val="004E538D"/>
    <w:rsid w:val="004E7CD5"/>
    <w:rsid w:val="004F04AE"/>
    <w:rsid w:val="004F2444"/>
    <w:rsid w:val="004F5277"/>
    <w:rsid w:val="004F63CB"/>
    <w:rsid w:val="004F7C1A"/>
    <w:rsid w:val="00502F1A"/>
    <w:rsid w:val="00503382"/>
    <w:rsid w:val="005040C7"/>
    <w:rsid w:val="005050DB"/>
    <w:rsid w:val="005100AC"/>
    <w:rsid w:val="005116A7"/>
    <w:rsid w:val="00511ABD"/>
    <w:rsid w:val="00512403"/>
    <w:rsid w:val="00512F59"/>
    <w:rsid w:val="00514014"/>
    <w:rsid w:val="0051456E"/>
    <w:rsid w:val="00515690"/>
    <w:rsid w:val="0051615D"/>
    <w:rsid w:val="0051727F"/>
    <w:rsid w:val="005257EE"/>
    <w:rsid w:val="00525A9F"/>
    <w:rsid w:val="0052734E"/>
    <w:rsid w:val="00527369"/>
    <w:rsid w:val="005313B6"/>
    <w:rsid w:val="00535BC6"/>
    <w:rsid w:val="00536ED1"/>
    <w:rsid w:val="0054502F"/>
    <w:rsid w:val="00545235"/>
    <w:rsid w:val="005502F0"/>
    <w:rsid w:val="005508F7"/>
    <w:rsid w:val="00554210"/>
    <w:rsid w:val="005554FD"/>
    <w:rsid w:val="00556A89"/>
    <w:rsid w:val="00560973"/>
    <w:rsid w:val="005614D9"/>
    <w:rsid w:val="0056240D"/>
    <w:rsid w:val="005637B3"/>
    <w:rsid w:val="00565D2D"/>
    <w:rsid w:val="00567297"/>
    <w:rsid w:val="00570B18"/>
    <w:rsid w:val="00570D61"/>
    <w:rsid w:val="00574403"/>
    <w:rsid w:val="0057558B"/>
    <w:rsid w:val="00575A00"/>
    <w:rsid w:val="0057645D"/>
    <w:rsid w:val="005814EB"/>
    <w:rsid w:val="005836F7"/>
    <w:rsid w:val="00583754"/>
    <w:rsid w:val="005845E5"/>
    <w:rsid w:val="00585205"/>
    <w:rsid w:val="00586CFD"/>
    <w:rsid w:val="005902EE"/>
    <w:rsid w:val="00590556"/>
    <w:rsid w:val="00592001"/>
    <w:rsid w:val="00592E2C"/>
    <w:rsid w:val="005949F0"/>
    <w:rsid w:val="0059771D"/>
    <w:rsid w:val="005A19EC"/>
    <w:rsid w:val="005B1870"/>
    <w:rsid w:val="005B2A58"/>
    <w:rsid w:val="005B35D0"/>
    <w:rsid w:val="005B67A4"/>
    <w:rsid w:val="005C0AEE"/>
    <w:rsid w:val="005C152B"/>
    <w:rsid w:val="005C3EFC"/>
    <w:rsid w:val="005C4007"/>
    <w:rsid w:val="005C5085"/>
    <w:rsid w:val="005D2EAB"/>
    <w:rsid w:val="005D47D7"/>
    <w:rsid w:val="005E312C"/>
    <w:rsid w:val="005E37EF"/>
    <w:rsid w:val="005F0BE4"/>
    <w:rsid w:val="005F302D"/>
    <w:rsid w:val="005F30A2"/>
    <w:rsid w:val="005F54CD"/>
    <w:rsid w:val="005F59C2"/>
    <w:rsid w:val="005F604E"/>
    <w:rsid w:val="00600832"/>
    <w:rsid w:val="006025F3"/>
    <w:rsid w:val="00602FF6"/>
    <w:rsid w:val="00605301"/>
    <w:rsid w:val="006114A4"/>
    <w:rsid w:val="00611A52"/>
    <w:rsid w:val="006130A4"/>
    <w:rsid w:val="00614358"/>
    <w:rsid w:val="00614903"/>
    <w:rsid w:val="006177AD"/>
    <w:rsid w:val="00617F58"/>
    <w:rsid w:val="006214A8"/>
    <w:rsid w:val="00622B8D"/>
    <w:rsid w:val="0063240B"/>
    <w:rsid w:val="006347E2"/>
    <w:rsid w:val="00635726"/>
    <w:rsid w:val="00636781"/>
    <w:rsid w:val="00636AA4"/>
    <w:rsid w:val="00647187"/>
    <w:rsid w:val="006510C4"/>
    <w:rsid w:val="00651CEB"/>
    <w:rsid w:val="006521BB"/>
    <w:rsid w:val="006607B6"/>
    <w:rsid w:val="00660A50"/>
    <w:rsid w:val="006651DC"/>
    <w:rsid w:val="006668B4"/>
    <w:rsid w:val="006669AA"/>
    <w:rsid w:val="0067036A"/>
    <w:rsid w:val="00670F42"/>
    <w:rsid w:val="006734BA"/>
    <w:rsid w:val="00673AA9"/>
    <w:rsid w:val="0067410B"/>
    <w:rsid w:val="00674CCA"/>
    <w:rsid w:val="006779FA"/>
    <w:rsid w:val="00680611"/>
    <w:rsid w:val="00682DB4"/>
    <w:rsid w:val="006830BE"/>
    <w:rsid w:val="00683C0F"/>
    <w:rsid w:val="006868E5"/>
    <w:rsid w:val="00686D3B"/>
    <w:rsid w:val="00694224"/>
    <w:rsid w:val="00695342"/>
    <w:rsid w:val="006A159D"/>
    <w:rsid w:val="006A52BF"/>
    <w:rsid w:val="006A57B6"/>
    <w:rsid w:val="006A60A4"/>
    <w:rsid w:val="006A7DEC"/>
    <w:rsid w:val="006B010F"/>
    <w:rsid w:val="006B3C22"/>
    <w:rsid w:val="006B6C19"/>
    <w:rsid w:val="006B74C1"/>
    <w:rsid w:val="006C03ED"/>
    <w:rsid w:val="006C2BD1"/>
    <w:rsid w:val="006C325F"/>
    <w:rsid w:val="006C46B3"/>
    <w:rsid w:val="006C6B85"/>
    <w:rsid w:val="006D11C3"/>
    <w:rsid w:val="006D155B"/>
    <w:rsid w:val="006D18B8"/>
    <w:rsid w:val="006D195B"/>
    <w:rsid w:val="006D2A60"/>
    <w:rsid w:val="006D454C"/>
    <w:rsid w:val="006D724B"/>
    <w:rsid w:val="006D7761"/>
    <w:rsid w:val="006E0C59"/>
    <w:rsid w:val="006E1596"/>
    <w:rsid w:val="006E2C59"/>
    <w:rsid w:val="006E53BE"/>
    <w:rsid w:val="006E5A0F"/>
    <w:rsid w:val="006E6129"/>
    <w:rsid w:val="006F278B"/>
    <w:rsid w:val="006F6015"/>
    <w:rsid w:val="006F7FAB"/>
    <w:rsid w:val="0070032C"/>
    <w:rsid w:val="007026B3"/>
    <w:rsid w:val="0070451E"/>
    <w:rsid w:val="00704EA4"/>
    <w:rsid w:val="00705167"/>
    <w:rsid w:val="007100AC"/>
    <w:rsid w:val="00710131"/>
    <w:rsid w:val="007106AB"/>
    <w:rsid w:val="00714882"/>
    <w:rsid w:val="00714945"/>
    <w:rsid w:val="00716FA3"/>
    <w:rsid w:val="007174AE"/>
    <w:rsid w:val="00720B69"/>
    <w:rsid w:val="00722DF9"/>
    <w:rsid w:val="00722F33"/>
    <w:rsid w:val="0072340A"/>
    <w:rsid w:val="0072439F"/>
    <w:rsid w:val="007275A2"/>
    <w:rsid w:val="007305EA"/>
    <w:rsid w:val="007316A2"/>
    <w:rsid w:val="00731C33"/>
    <w:rsid w:val="007325D7"/>
    <w:rsid w:val="007335BD"/>
    <w:rsid w:val="00733741"/>
    <w:rsid w:val="00734DDC"/>
    <w:rsid w:val="00736A9F"/>
    <w:rsid w:val="00740656"/>
    <w:rsid w:val="0074071B"/>
    <w:rsid w:val="00741C1A"/>
    <w:rsid w:val="00743426"/>
    <w:rsid w:val="00743C9E"/>
    <w:rsid w:val="00754633"/>
    <w:rsid w:val="007549D3"/>
    <w:rsid w:val="007559FE"/>
    <w:rsid w:val="007565C8"/>
    <w:rsid w:val="007629B8"/>
    <w:rsid w:val="00766F2E"/>
    <w:rsid w:val="007730D0"/>
    <w:rsid w:val="007756F2"/>
    <w:rsid w:val="007760C5"/>
    <w:rsid w:val="00777397"/>
    <w:rsid w:val="00777BC6"/>
    <w:rsid w:val="007814B0"/>
    <w:rsid w:val="007818A0"/>
    <w:rsid w:val="00781BED"/>
    <w:rsid w:val="007820CE"/>
    <w:rsid w:val="007840CA"/>
    <w:rsid w:val="007846E8"/>
    <w:rsid w:val="00784B7D"/>
    <w:rsid w:val="00785C0F"/>
    <w:rsid w:val="007863F6"/>
    <w:rsid w:val="007869FB"/>
    <w:rsid w:val="00786F9B"/>
    <w:rsid w:val="007872BB"/>
    <w:rsid w:val="0079157A"/>
    <w:rsid w:val="00792B87"/>
    <w:rsid w:val="00794928"/>
    <w:rsid w:val="00795927"/>
    <w:rsid w:val="00796340"/>
    <w:rsid w:val="00796C00"/>
    <w:rsid w:val="00797740"/>
    <w:rsid w:val="007A137D"/>
    <w:rsid w:val="007A3A13"/>
    <w:rsid w:val="007A706F"/>
    <w:rsid w:val="007B00E2"/>
    <w:rsid w:val="007B0D28"/>
    <w:rsid w:val="007B4F85"/>
    <w:rsid w:val="007B543D"/>
    <w:rsid w:val="007B6828"/>
    <w:rsid w:val="007C04B9"/>
    <w:rsid w:val="007C58A0"/>
    <w:rsid w:val="007C5AAE"/>
    <w:rsid w:val="007C6657"/>
    <w:rsid w:val="007D2475"/>
    <w:rsid w:val="007D2F9D"/>
    <w:rsid w:val="007D7A4A"/>
    <w:rsid w:val="007E0995"/>
    <w:rsid w:val="007E1560"/>
    <w:rsid w:val="007E5262"/>
    <w:rsid w:val="007E5A99"/>
    <w:rsid w:val="007E645A"/>
    <w:rsid w:val="007E7863"/>
    <w:rsid w:val="007F02DA"/>
    <w:rsid w:val="007F1251"/>
    <w:rsid w:val="007F1BE5"/>
    <w:rsid w:val="007F2A9B"/>
    <w:rsid w:val="007F3B47"/>
    <w:rsid w:val="007F4077"/>
    <w:rsid w:val="007F5025"/>
    <w:rsid w:val="007F77EA"/>
    <w:rsid w:val="00801F35"/>
    <w:rsid w:val="00802C72"/>
    <w:rsid w:val="00804151"/>
    <w:rsid w:val="00804CF9"/>
    <w:rsid w:val="00805582"/>
    <w:rsid w:val="00806B8F"/>
    <w:rsid w:val="00806F89"/>
    <w:rsid w:val="0080703F"/>
    <w:rsid w:val="00811A30"/>
    <w:rsid w:val="00812927"/>
    <w:rsid w:val="00812D59"/>
    <w:rsid w:val="008130EF"/>
    <w:rsid w:val="00813C35"/>
    <w:rsid w:val="00814E89"/>
    <w:rsid w:val="00816287"/>
    <w:rsid w:val="00817187"/>
    <w:rsid w:val="00820A40"/>
    <w:rsid w:val="00820D63"/>
    <w:rsid w:val="00821361"/>
    <w:rsid w:val="008214DA"/>
    <w:rsid w:val="00821A3D"/>
    <w:rsid w:val="0082347B"/>
    <w:rsid w:val="0082427C"/>
    <w:rsid w:val="00824E25"/>
    <w:rsid w:val="00826F5F"/>
    <w:rsid w:val="008301DD"/>
    <w:rsid w:val="008309EA"/>
    <w:rsid w:val="008327EE"/>
    <w:rsid w:val="0083385F"/>
    <w:rsid w:val="0083687C"/>
    <w:rsid w:val="00837729"/>
    <w:rsid w:val="008403F9"/>
    <w:rsid w:val="00841CAA"/>
    <w:rsid w:val="008463B3"/>
    <w:rsid w:val="0084648F"/>
    <w:rsid w:val="00847475"/>
    <w:rsid w:val="008477F8"/>
    <w:rsid w:val="0085007A"/>
    <w:rsid w:val="008502E9"/>
    <w:rsid w:val="00852F90"/>
    <w:rsid w:val="008551ED"/>
    <w:rsid w:val="00855F14"/>
    <w:rsid w:val="00856EFF"/>
    <w:rsid w:val="00856F90"/>
    <w:rsid w:val="00857918"/>
    <w:rsid w:val="0086027F"/>
    <w:rsid w:val="00860D15"/>
    <w:rsid w:val="008637C5"/>
    <w:rsid w:val="00865F73"/>
    <w:rsid w:val="00866253"/>
    <w:rsid w:val="00871579"/>
    <w:rsid w:val="00872D9D"/>
    <w:rsid w:val="00873541"/>
    <w:rsid w:val="00874368"/>
    <w:rsid w:val="00875BAD"/>
    <w:rsid w:val="00876338"/>
    <w:rsid w:val="00881D6B"/>
    <w:rsid w:val="00882A06"/>
    <w:rsid w:val="00885839"/>
    <w:rsid w:val="0088642F"/>
    <w:rsid w:val="00892BD6"/>
    <w:rsid w:val="00893E77"/>
    <w:rsid w:val="0089674B"/>
    <w:rsid w:val="008A1032"/>
    <w:rsid w:val="008A41CB"/>
    <w:rsid w:val="008A5615"/>
    <w:rsid w:val="008A5BDE"/>
    <w:rsid w:val="008A7717"/>
    <w:rsid w:val="008B143A"/>
    <w:rsid w:val="008B147D"/>
    <w:rsid w:val="008B1EA9"/>
    <w:rsid w:val="008B5911"/>
    <w:rsid w:val="008B5E57"/>
    <w:rsid w:val="008B5F19"/>
    <w:rsid w:val="008B72BD"/>
    <w:rsid w:val="008C2E19"/>
    <w:rsid w:val="008C31F0"/>
    <w:rsid w:val="008C3539"/>
    <w:rsid w:val="008C5EF1"/>
    <w:rsid w:val="008C5FBF"/>
    <w:rsid w:val="008D0E47"/>
    <w:rsid w:val="008D1815"/>
    <w:rsid w:val="008D2711"/>
    <w:rsid w:val="008D2DA1"/>
    <w:rsid w:val="008D316D"/>
    <w:rsid w:val="008D4FA7"/>
    <w:rsid w:val="008D6055"/>
    <w:rsid w:val="008D7199"/>
    <w:rsid w:val="008E0646"/>
    <w:rsid w:val="008E1E69"/>
    <w:rsid w:val="008E207E"/>
    <w:rsid w:val="008F2CD9"/>
    <w:rsid w:val="008F3210"/>
    <w:rsid w:val="008F4C14"/>
    <w:rsid w:val="008F54C9"/>
    <w:rsid w:val="008F5DAB"/>
    <w:rsid w:val="008F6F2B"/>
    <w:rsid w:val="008F7080"/>
    <w:rsid w:val="008F708A"/>
    <w:rsid w:val="009001A8"/>
    <w:rsid w:val="009023DE"/>
    <w:rsid w:val="009033B2"/>
    <w:rsid w:val="009054B0"/>
    <w:rsid w:val="00906074"/>
    <w:rsid w:val="00906F74"/>
    <w:rsid w:val="0091039F"/>
    <w:rsid w:val="009127A1"/>
    <w:rsid w:val="00913E34"/>
    <w:rsid w:val="009142A9"/>
    <w:rsid w:val="009153EB"/>
    <w:rsid w:val="009226B1"/>
    <w:rsid w:val="00924965"/>
    <w:rsid w:val="00930C35"/>
    <w:rsid w:val="0093105A"/>
    <w:rsid w:val="00932EB9"/>
    <w:rsid w:val="00933027"/>
    <w:rsid w:val="00933BF9"/>
    <w:rsid w:val="00935539"/>
    <w:rsid w:val="009355E0"/>
    <w:rsid w:val="00935F87"/>
    <w:rsid w:val="009363E4"/>
    <w:rsid w:val="00945548"/>
    <w:rsid w:val="0094612E"/>
    <w:rsid w:val="009470EE"/>
    <w:rsid w:val="00952B35"/>
    <w:rsid w:val="009534C7"/>
    <w:rsid w:val="009566BD"/>
    <w:rsid w:val="00956FA3"/>
    <w:rsid w:val="0096244E"/>
    <w:rsid w:val="0096318E"/>
    <w:rsid w:val="00963F69"/>
    <w:rsid w:val="0096483D"/>
    <w:rsid w:val="009658BF"/>
    <w:rsid w:val="00973FCC"/>
    <w:rsid w:val="00974C74"/>
    <w:rsid w:val="0097723C"/>
    <w:rsid w:val="009808DD"/>
    <w:rsid w:val="009808FA"/>
    <w:rsid w:val="00982F19"/>
    <w:rsid w:val="0098361D"/>
    <w:rsid w:val="00983961"/>
    <w:rsid w:val="009870DD"/>
    <w:rsid w:val="009901A2"/>
    <w:rsid w:val="00991042"/>
    <w:rsid w:val="00991906"/>
    <w:rsid w:val="009919C9"/>
    <w:rsid w:val="00992920"/>
    <w:rsid w:val="00994DA0"/>
    <w:rsid w:val="00994F55"/>
    <w:rsid w:val="00995AFE"/>
    <w:rsid w:val="00996F3E"/>
    <w:rsid w:val="00997E04"/>
    <w:rsid w:val="009A0E60"/>
    <w:rsid w:val="009A37C5"/>
    <w:rsid w:val="009A6042"/>
    <w:rsid w:val="009A6872"/>
    <w:rsid w:val="009A7D6D"/>
    <w:rsid w:val="009A7F60"/>
    <w:rsid w:val="009B0FF5"/>
    <w:rsid w:val="009B1FB1"/>
    <w:rsid w:val="009B3902"/>
    <w:rsid w:val="009B39F5"/>
    <w:rsid w:val="009B4D8F"/>
    <w:rsid w:val="009B57CF"/>
    <w:rsid w:val="009C1132"/>
    <w:rsid w:val="009C1D10"/>
    <w:rsid w:val="009D137A"/>
    <w:rsid w:val="009D14B3"/>
    <w:rsid w:val="009D2D81"/>
    <w:rsid w:val="009D35CC"/>
    <w:rsid w:val="009D40AC"/>
    <w:rsid w:val="009E1D2A"/>
    <w:rsid w:val="009E53FD"/>
    <w:rsid w:val="009E5743"/>
    <w:rsid w:val="009E5981"/>
    <w:rsid w:val="009F122C"/>
    <w:rsid w:val="009F44B0"/>
    <w:rsid w:val="00A003C7"/>
    <w:rsid w:val="00A01E4B"/>
    <w:rsid w:val="00A02507"/>
    <w:rsid w:val="00A03777"/>
    <w:rsid w:val="00A04B06"/>
    <w:rsid w:val="00A0516B"/>
    <w:rsid w:val="00A0666D"/>
    <w:rsid w:val="00A0683D"/>
    <w:rsid w:val="00A069BE"/>
    <w:rsid w:val="00A06CC9"/>
    <w:rsid w:val="00A074E7"/>
    <w:rsid w:val="00A106B1"/>
    <w:rsid w:val="00A139A8"/>
    <w:rsid w:val="00A15BDF"/>
    <w:rsid w:val="00A160B4"/>
    <w:rsid w:val="00A1673F"/>
    <w:rsid w:val="00A17322"/>
    <w:rsid w:val="00A17891"/>
    <w:rsid w:val="00A209FA"/>
    <w:rsid w:val="00A2149B"/>
    <w:rsid w:val="00A301BE"/>
    <w:rsid w:val="00A31755"/>
    <w:rsid w:val="00A351A2"/>
    <w:rsid w:val="00A356CF"/>
    <w:rsid w:val="00A35900"/>
    <w:rsid w:val="00A41C4D"/>
    <w:rsid w:val="00A42E6C"/>
    <w:rsid w:val="00A44329"/>
    <w:rsid w:val="00A45008"/>
    <w:rsid w:val="00A52D44"/>
    <w:rsid w:val="00A5378F"/>
    <w:rsid w:val="00A63775"/>
    <w:rsid w:val="00A63994"/>
    <w:rsid w:val="00A6406E"/>
    <w:rsid w:val="00A67234"/>
    <w:rsid w:val="00A67432"/>
    <w:rsid w:val="00A70EE9"/>
    <w:rsid w:val="00A71985"/>
    <w:rsid w:val="00A7333D"/>
    <w:rsid w:val="00A7341D"/>
    <w:rsid w:val="00A74FB7"/>
    <w:rsid w:val="00A76685"/>
    <w:rsid w:val="00A76C28"/>
    <w:rsid w:val="00A80210"/>
    <w:rsid w:val="00A83B8D"/>
    <w:rsid w:val="00A8424D"/>
    <w:rsid w:val="00A843AA"/>
    <w:rsid w:val="00A84CF1"/>
    <w:rsid w:val="00A903EF"/>
    <w:rsid w:val="00A9151F"/>
    <w:rsid w:val="00A91AA1"/>
    <w:rsid w:val="00A9228A"/>
    <w:rsid w:val="00A926F3"/>
    <w:rsid w:val="00A95F64"/>
    <w:rsid w:val="00A97DB7"/>
    <w:rsid w:val="00A97EDF"/>
    <w:rsid w:val="00AA0229"/>
    <w:rsid w:val="00AA1182"/>
    <w:rsid w:val="00AA15CF"/>
    <w:rsid w:val="00AA2C75"/>
    <w:rsid w:val="00AA443B"/>
    <w:rsid w:val="00AA66DD"/>
    <w:rsid w:val="00AB03A7"/>
    <w:rsid w:val="00AB15E8"/>
    <w:rsid w:val="00AB1EE5"/>
    <w:rsid w:val="00AB32A9"/>
    <w:rsid w:val="00AB38AE"/>
    <w:rsid w:val="00AB56D3"/>
    <w:rsid w:val="00AC0647"/>
    <w:rsid w:val="00AC16B9"/>
    <w:rsid w:val="00AC3F38"/>
    <w:rsid w:val="00AC50DE"/>
    <w:rsid w:val="00AC7858"/>
    <w:rsid w:val="00AC79AA"/>
    <w:rsid w:val="00AD06B7"/>
    <w:rsid w:val="00AD21C4"/>
    <w:rsid w:val="00AD2EA4"/>
    <w:rsid w:val="00AD3240"/>
    <w:rsid w:val="00AD42F1"/>
    <w:rsid w:val="00AD47F1"/>
    <w:rsid w:val="00AD5479"/>
    <w:rsid w:val="00AE028C"/>
    <w:rsid w:val="00AE2885"/>
    <w:rsid w:val="00AE3BD0"/>
    <w:rsid w:val="00AE4D72"/>
    <w:rsid w:val="00AE54E7"/>
    <w:rsid w:val="00AE620A"/>
    <w:rsid w:val="00AE691A"/>
    <w:rsid w:val="00AE7DE9"/>
    <w:rsid w:val="00AF1226"/>
    <w:rsid w:val="00AF34B4"/>
    <w:rsid w:val="00AF4554"/>
    <w:rsid w:val="00AF49C4"/>
    <w:rsid w:val="00AF4D51"/>
    <w:rsid w:val="00AF52C3"/>
    <w:rsid w:val="00AF6142"/>
    <w:rsid w:val="00B01ED3"/>
    <w:rsid w:val="00B02530"/>
    <w:rsid w:val="00B02E8E"/>
    <w:rsid w:val="00B039E1"/>
    <w:rsid w:val="00B12D17"/>
    <w:rsid w:val="00B1342F"/>
    <w:rsid w:val="00B13A5E"/>
    <w:rsid w:val="00B17E58"/>
    <w:rsid w:val="00B17EFD"/>
    <w:rsid w:val="00B207FB"/>
    <w:rsid w:val="00B24CB1"/>
    <w:rsid w:val="00B2509A"/>
    <w:rsid w:val="00B26A77"/>
    <w:rsid w:val="00B30A4E"/>
    <w:rsid w:val="00B30C7C"/>
    <w:rsid w:val="00B31DFD"/>
    <w:rsid w:val="00B366DC"/>
    <w:rsid w:val="00B37A0B"/>
    <w:rsid w:val="00B37A8A"/>
    <w:rsid w:val="00B40F70"/>
    <w:rsid w:val="00B41643"/>
    <w:rsid w:val="00B43352"/>
    <w:rsid w:val="00B46668"/>
    <w:rsid w:val="00B46EA0"/>
    <w:rsid w:val="00B52B9E"/>
    <w:rsid w:val="00B53A5E"/>
    <w:rsid w:val="00B53F72"/>
    <w:rsid w:val="00B62CAB"/>
    <w:rsid w:val="00B6518F"/>
    <w:rsid w:val="00B6687D"/>
    <w:rsid w:val="00B67F84"/>
    <w:rsid w:val="00B70C26"/>
    <w:rsid w:val="00B7239B"/>
    <w:rsid w:val="00B72D7C"/>
    <w:rsid w:val="00B75B25"/>
    <w:rsid w:val="00B766EC"/>
    <w:rsid w:val="00B8467B"/>
    <w:rsid w:val="00B84C87"/>
    <w:rsid w:val="00B86BE6"/>
    <w:rsid w:val="00B86F88"/>
    <w:rsid w:val="00B87992"/>
    <w:rsid w:val="00B94E2E"/>
    <w:rsid w:val="00B960A0"/>
    <w:rsid w:val="00BA3609"/>
    <w:rsid w:val="00BA6E0B"/>
    <w:rsid w:val="00BB2BF7"/>
    <w:rsid w:val="00BB3022"/>
    <w:rsid w:val="00BC1555"/>
    <w:rsid w:val="00BC1886"/>
    <w:rsid w:val="00BC1B5B"/>
    <w:rsid w:val="00BC4265"/>
    <w:rsid w:val="00BC4729"/>
    <w:rsid w:val="00BC604F"/>
    <w:rsid w:val="00BC62FB"/>
    <w:rsid w:val="00BC7475"/>
    <w:rsid w:val="00BD16B2"/>
    <w:rsid w:val="00BD1772"/>
    <w:rsid w:val="00BD433C"/>
    <w:rsid w:val="00BD47D9"/>
    <w:rsid w:val="00BD5A25"/>
    <w:rsid w:val="00BD5D83"/>
    <w:rsid w:val="00BE007F"/>
    <w:rsid w:val="00BE259B"/>
    <w:rsid w:val="00BE30F3"/>
    <w:rsid w:val="00BE4256"/>
    <w:rsid w:val="00BE4F0D"/>
    <w:rsid w:val="00BE6A8A"/>
    <w:rsid w:val="00BE6E7B"/>
    <w:rsid w:val="00BF0EA2"/>
    <w:rsid w:val="00BF1CD8"/>
    <w:rsid w:val="00BF3AC0"/>
    <w:rsid w:val="00BF5158"/>
    <w:rsid w:val="00BF547E"/>
    <w:rsid w:val="00BF78F2"/>
    <w:rsid w:val="00C04111"/>
    <w:rsid w:val="00C10C24"/>
    <w:rsid w:val="00C11910"/>
    <w:rsid w:val="00C11BD6"/>
    <w:rsid w:val="00C12ED9"/>
    <w:rsid w:val="00C1428B"/>
    <w:rsid w:val="00C161A8"/>
    <w:rsid w:val="00C16C73"/>
    <w:rsid w:val="00C173FA"/>
    <w:rsid w:val="00C1776B"/>
    <w:rsid w:val="00C20CCC"/>
    <w:rsid w:val="00C20D6B"/>
    <w:rsid w:val="00C223F7"/>
    <w:rsid w:val="00C237FE"/>
    <w:rsid w:val="00C23901"/>
    <w:rsid w:val="00C239BA"/>
    <w:rsid w:val="00C27559"/>
    <w:rsid w:val="00C3095F"/>
    <w:rsid w:val="00C33FD7"/>
    <w:rsid w:val="00C33FDE"/>
    <w:rsid w:val="00C41ED6"/>
    <w:rsid w:val="00C42B9F"/>
    <w:rsid w:val="00C43D10"/>
    <w:rsid w:val="00C47359"/>
    <w:rsid w:val="00C501E5"/>
    <w:rsid w:val="00C50CDE"/>
    <w:rsid w:val="00C56F27"/>
    <w:rsid w:val="00C606BA"/>
    <w:rsid w:val="00C661E9"/>
    <w:rsid w:val="00C66A00"/>
    <w:rsid w:val="00C6735F"/>
    <w:rsid w:val="00C71690"/>
    <w:rsid w:val="00C735E0"/>
    <w:rsid w:val="00C73B66"/>
    <w:rsid w:val="00C73E96"/>
    <w:rsid w:val="00C76FC4"/>
    <w:rsid w:val="00C77402"/>
    <w:rsid w:val="00C82076"/>
    <w:rsid w:val="00C9330C"/>
    <w:rsid w:val="00C9472B"/>
    <w:rsid w:val="00C94DDE"/>
    <w:rsid w:val="00CA02B6"/>
    <w:rsid w:val="00CA2982"/>
    <w:rsid w:val="00CA2C19"/>
    <w:rsid w:val="00CA4B48"/>
    <w:rsid w:val="00CA5C9A"/>
    <w:rsid w:val="00CA6F3C"/>
    <w:rsid w:val="00CA743E"/>
    <w:rsid w:val="00CA7E21"/>
    <w:rsid w:val="00CB011B"/>
    <w:rsid w:val="00CB0481"/>
    <w:rsid w:val="00CB0876"/>
    <w:rsid w:val="00CB0D27"/>
    <w:rsid w:val="00CB11FF"/>
    <w:rsid w:val="00CB1E19"/>
    <w:rsid w:val="00CB28F5"/>
    <w:rsid w:val="00CB47B7"/>
    <w:rsid w:val="00CB6534"/>
    <w:rsid w:val="00CC0E20"/>
    <w:rsid w:val="00CC1B39"/>
    <w:rsid w:val="00CC1C9F"/>
    <w:rsid w:val="00CC3D1F"/>
    <w:rsid w:val="00CD0E86"/>
    <w:rsid w:val="00CD1821"/>
    <w:rsid w:val="00CD3E72"/>
    <w:rsid w:val="00CD467D"/>
    <w:rsid w:val="00CD591D"/>
    <w:rsid w:val="00CD6885"/>
    <w:rsid w:val="00CE0456"/>
    <w:rsid w:val="00CE07B8"/>
    <w:rsid w:val="00CE12D0"/>
    <w:rsid w:val="00CE1565"/>
    <w:rsid w:val="00CE1723"/>
    <w:rsid w:val="00CE1E1E"/>
    <w:rsid w:val="00CE41F8"/>
    <w:rsid w:val="00CE5D48"/>
    <w:rsid w:val="00CE6C76"/>
    <w:rsid w:val="00CF026E"/>
    <w:rsid w:val="00CF2583"/>
    <w:rsid w:val="00CF2DC5"/>
    <w:rsid w:val="00CF3FC3"/>
    <w:rsid w:val="00CF4BA9"/>
    <w:rsid w:val="00D02013"/>
    <w:rsid w:val="00D03C3C"/>
    <w:rsid w:val="00D041D6"/>
    <w:rsid w:val="00D048C9"/>
    <w:rsid w:val="00D04A43"/>
    <w:rsid w:val="00D07706"/>
    <w:rsid w:val="00D07899"/>
    <w:rsid w:val="00D104B7"/>
    <w:rsid w:val="00D10E4D"/>
    <w:rsid w:val="00D11C0C"/>
    <w:rsid w:val="00D13E69"/>
    <w:rsid w:val="00D1729F"/>
    <w:rsid w:val="00D215F3"/>
    <w:rsid w:val="00D22602"/>
    <w:rsid w:val="00D22ACB"/>
    <w:rsid w:val="00D22D5C"/>
    <w:rsid w:val="00D233FE"/>
    <w:rsid w:val="00D252A1"/>
    <w:rsid w:val="00D277D2"/>
    <w:rsid w:val="00D31410"/>
    <w:rsid w:val="00D3328A"/>
    <w:rsid w:val="00D3328F"/>
    <w:rsid w:val="00D354ED"/>
    <w:rsid w:val="00D42C18"/>
    <w:rsid w:val="00D44FC7"/>
    <w:rsid w:val="00D508AA"/>
    <w:rsid w:val="00D50F78"/>
    <w:rsid w:val="00D5550A"/>
    <w:rsid w:val="00D57300"/>
    <w:rsid w:val="00D6162C"/>
    <w:rsid w:val="00D616A6"/>
    <w:rsid w:val="00D617C5"/>
    <w:rsid w:val="00D77F29"/>
    <w:rsid w:val="00D816F8"/>
    <w:rsid w:val="00D845AF"/>
    <w:rsid w:val="00D8536D"/>
    <w:rsid w:val="00D855B4"/>
    <w:rsid w:val="00D87260"/>
    <w:rsid w:val="00D92827"/>
    <w:rsid w:val="00D96D26"/>
    <w:rsid w:val="00D978C8"/>
    <w:rsid w:val="00D97F49"/>
    <w:rsid w:val="00DA28EA"/>
    <w:rsid w:val="00DA641B"/>
    <w:rsid w:val="00DA6500"/>
    <w:rsid w:val="00DB128B"/>
    <w:rsid w:val="00DB1A74"/>
    <w:rsid w:val="00DB20FA"/>
    <w:rsid w:val="00DB2F63"/>
    <w:rsid w:val="00DB519F"/>
    <w:rsid w:val="00DB659C"/>
    <w:rsid w:val="00DB66EF"/>
    <w:rsid w:val="00DB7645"/>
    <w:rsid w:val="00DC1659"/>
    <w:rsid w:val="00DC244A"/>
    <w:rsid w:val="00DC39F6"/>
    <w:rsid w:val="00DC3D51"/>
    <w:rsid w:val="00DC404F"/>
    <w:rsid w:val="00DC5174"/>
    <w:rsid w:val="00DC598A"/>
    <w:rsid w:val="00DC6D68"/>
    <w:rsid w:val="00DC7482"/>
    <w:rsid w:val="00DD0845"/>
    <w:rsid w:val="00DD1FCB"/>
    <w:rsid w:val="00DD20EB"/>
    <w:rsid w:val="00DD2BDA"/>
    <w:rsid w:val="00DD39E4"/>
    <w:rsid w:val="00DD6496"/>
    <w:rsid w:val="00DE5161"/>
    <w:rsid w:val="00DE5329"/>
    <w:rsid w:val="00DE5601"/>
    <w:rsid w:val="00DF166C"/>
    <w:rsid w:val="00DF3B7E"/>
    <w:rsid w:val="00DF4880"/>
    <w:rsid w:val="00DF57FE"/>
    <w:rsid w:val="00DF6E44"/>
    <w:rsid w:val="00E017EC"/>
    <w:rsid w:val="00E02040"/>
    <w:rsid w:val="00E02805"/>
    <w:rsid w:val="00E06455"/>
    <w:rsid w:val="00E06E8E"/>
    <w:rsid w:val="00E13745"/>
    <w:rsid w:val="00E1576A"/>
    <w:rsid w:val="00E15C68"/>
    <w:rsid w:val="00E15DD2"/>
    <w:rsid w:val="00E1690E"/>
    <w:rsid w:val="00E22A36"/>
    <w:rsid w:val="00E22EC4"/>
    <w:rsid w:val="00E24554"/>
    <w:rsid w:val="00E25BD5"/>
    <w:rsid w:val="00E26865"/>
    <w:rsid w:val="00E31428"/>
    <w:rsid w:val="00E3196E"/>
    <w:rsid w:val="00E31CA3"/>
    <w:rsid w:val="00E31E4A"/>
    <w:rsid w:val="00E3275B"/>
    <w:rsid w:val="00E33494"/>
    <w:rsid w:val="00E3666A"/>
    <w:rsid w:val="00E36CCA"/>
    <w:rsid w:val="00E40F4A"/>
    <w:rsid w:val="00E43764"/>
    <w:rsid w:val="00E44027"/>
    <w:rsid w:val="00E4428D"/>
    <w:rsid w:val="00E446AE"/>
    <w:rsid w:val="00E47F4E"/>
    <w:rsid w:val="00E50D02"/>
    <w:rsid w:val="00E51674"/>
    <w:rsid w:val="00E51F11"/>
    <w:rsid w:val="00E526D9"/>
    <w:rsid w:val="00E54824"/>
    <w:rsid w:val="00E6047D"/>
    <w:rsid w:val="00E607E4"/>
    <w:rsid w:val="00E617FA"/>
    <w:rsid w:val="00E62D9B"/>
    <w:rsid w:val="00E64363"/>
    <w:rsid w:val="00E668AC"/>
    <w:rsid w:val="00E66EC9"/>
    <w:rsid w:val="00E67DDF"/>
    <w:rsid w:val="00E70E5A"/>
    <w:rsid w:val="00E71965"/>
    <w:rsid w:val="00E72696"/>
    <w:rsid w:val="00E7376A"/>
    <w:rsid w:val="00E73DD1"/>
    <w:rsid w:val="00E75AF7"/>
    <w:rsid w:val="00E77756"/>
    <w:rsid w:val="00E77F31"/>
    <w:rsid w:val="00E80001"/>
    <w:rsid w:val="00E816D5"/>
    <w:rsid w:val="00E81FBA"/>
    <w:rsid w:val="00E84152"/>
    <w:rsid w:val="00E848B6"/>
    <w:rsid w:val="00E85B64"/>
    <w:rsid w:val="00E862BC"/>
    <w:rsid w:val="00E86696"/>
    <w:rsid w:val="00E93348"/>
    <w:rsid w:val="00E94CAA"/>
    <w:rsid w:val="00E952FD"/>
    <w:rsid w:val="00EA2069"/>
    <w:rsid w:val="00EA33BD"/>
    <w:rsid w:val="00EA63D4"/>
    <w:rsid w:val="00EB2FB3"/>
    <w:rsid w:val="00EB3D9A"/>
    <w:rsid w:val="00EB4773"/>
    <w:rsid w:val="00EC045B"/>
    <w:rsid w:val="00EC1407"/>
    <w:rsid w:val="00EC2F26"/>
    <w:rsid w:val="00EC4FCB"/>
    <w:rsid w:val="00EC57DA"/>
    <w:rsid w:val="00EC60F7"/>
    <w:rsid w:val="00EC6FF5"/>
    <w:rsid w:val="00ED125F"/>
    <w:rsid w:val="00ED2623"/>
    <w:rsid w:val="00ED3867"/>
    <w:rsid w:val="00ED3BEE"/>
    <w:rsid w:val="00ED5333"/>
    <w:rsid w:val="00ED5A7D"/>
    <w:rsid w:val="00ED5CC2"/>
    <w:rsid w:val="00ED6D5C"/>
    <w:rsid w:val="00EE553B"/>
    <w:rsid w:val="00EE5F80"/>
    <w:rsid w:val="00EE6A38"/>
    <w:rsid w:val="00EF2D29"/>
    <w:rsid w:val="00EF469E"/>
    <w:rsid w:val="00EF62A3"/>
    <w:rsid w:val="00EF7142"/>
    <w:rsid w:val="00F00670"/>
    <w:rsid w:val="00F05356"/>
    <w:rsid w:val="00F058F4"/>
    <w:rsid w:val="00F05C08"/>
    <w:rsid w:val="00F103D7"/>
    <w:rsid w:val="00F10973"/>
    <w:rsid w:val="00F11861"/>
    <w:rsid w:val="00F1249A"/>
    <w:rsid w:val="00F136A6"/>
    <w:rsid w:val="00F13710"/>
    <w:rsid w:val="00F1486F"/>
    <w:rsid w:val="00F16DF3"/>
    <w:rsid w:val="00F201A9"/>
    <w:rsid w:val="00F22E1F"/>
    <w:rsid w:val="00F2314A"/>
    <w:rsid w:val="00F26A49"/>
    <w:rsid w:val="00F271EA"/>
    <w:rsid w:val="00F301DE"/>
    <w:rsid w:val="00F30660"/>
    <w:rsid w:val="00F341F4"/>
    <w:rsid w:val="00F34DF6"/>
    <w:rsid w:val="00F351E1"/>
    <w:rsid w:val="00F35B3D"/>
    <w:rsid w:val="00F36024"/>
    <w:rsid w:val="00F367CB"/>
    <w:rsid w:val="00F37FE7"/>
    <w:rsid w:val="00F45E6D"/>
    <w:rsid w:val="00F4644F"/>
    <w:rsid w:val="00F50069"/>
    <w:rsid w:val="00F5164C"/>
    <w:rsid w:val="00F53649"/>
    <w:rsid w:val="00F53AE4"/>
    <w:rsid w:val="00F53D34"/>
    <w:rsid w:val="00F60D33"/>
    <w:rsid w:val="00F63B81"/>
    <w:rsid w:val="00F663B8"/>
    <w:rsid w:val="00F67218"/>
    <w:rsid w:val="00F700DD"/>
    <w:rsid w:val="00F70D1A"/>
    <w:rsid w:val="00F70D85"/>
    <w:rsid w:val="00F70EAC"/>
    <w:rsid w:val="00F73CDC"/>
    <w:rsid w:val="00F74CC4"/>
    <w:rsid w:val="00F75AD9"/>
    <w:rsid w:val="00F77EC4"/>
    <w:rsid w:val="00F85F1D"/>
    <w:rsid w:val="00F87337"/>
    <w:rsid w:val="00F939AF"/>
    <w:rsid w:val="00F943D5"/>
    <w:rsid w:val="00F945F4"/>
    <w:rsid w:val="00F9487F"/>
    <w:rsid w:val="00F94A29"/>
    <w:rsid w:val="00FA1550"/>
    <w:rsid w:val="00FA38AB"/>
    <w:rsid w:val="00FA4DD6"/>
    <w:rsid w:val="00FA58BA"/>
    <w:rsid w:val="00FA6059"/>
    <w:rsid w:val="00FA6AFA"/>
    <w:rsid w:val="00FB4DA0"/>
    <w:rsid w:val="00FC010F"/>
    <w:rsid w:val="00FC3A3F"/>
    <w:rsid w:val="00FC474C"/>
    <w:rsid w:val="00FC5E2B"/>
    <w:rsid w:val="00FC6F39"/>
    <w:rsid w:val="00FD137D"/>
    <w:rsid w:val="00FD3017"/>
    <w:rsid w:val="00FD384C"/>
    <w:rsid w:val="00FD3B20"/>
    <w:rsid w:val="00FD3DA4"/>
    <w:rsid w:val="00FD6905"/>
    <w:rsid w:val="00FD69CD"/>
    <w:rsid w:val="00FE0403"/>
    <w:rsid w:val="00FE1A74"/>
    <w:rsid w:val="00FE2B5D"/>
    <w:rsid w:val="00FE556E"/>
    <w:rsid w:val="00FE670E"/>
    <w:rsid w:val="00FF0C7B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  <o:rules v:ext="edit">
        <o:r id="V:Rule1" type="connector" idref="#_s1032">
          <o:proxy start="" idref="#_s1034" connectloc="1"/>
          <o:proxy end="" idref="#_s1033" connectloc="2"/>
        </o:r>
        <o:r id="V:Rule2" type="connector" idref="#_s1031">
          <o:proxy start="" idref="#_s1035" connectloc="1"/>
          <o:proxy end="" idref="#_s1033" connectloc="2"/>
        </o:r>
        <o:r id="V:Rule3" type="connector" idref="#_s1029">
          <o:proxy start="" idref="#_s1037" connectloc="1"/>
          <o:proxy end="" idref="#_s1033" connectloc="2"/>
        </o:r>
        <o:r id="V:Rule4" type="connector" idref="#_s1030">
          <o:proxy start="" idref="#_s1036" connectloc="1"/>
          <o:proxy end="" idref="#_s1033" connectloc="2"/>
        </o:r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9" Type="http://schemas.microsoft.com/office/2007/relationships/diagramDrawing" Target="diagrams/drawing6.xml"/><Relationship Id="rId3" Type="http://schemas.microsoft.com/office/2007/relationships/stylesWithEffects" Target="stylesWithEffects.xml"/><Relationship Id="rId21" Type="http://schemas.openxmlformats.org/officeDocument/2006/relationships/diagramLayout" Target="diagrams/layout3.xml"/><Relationship Id="rId34" Type="http://schemas.microsoft.com/office/2007/relationships/diagramDrawing" Target="diagrams/drawing5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diagramColors" Target="diagrams/colors5.xml"/><Relationship Id="rId38" Type="http://schemas.openxmlformats.org/officeDocument/2006/relationships/diagramColors" Target="diagrams/colors6.xm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41" Type="http://schemas.openxmlformats.org/officeDocument/2006/relationships/chart" Target="charts/chart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diagramQuickStyle" Target="diagrams/quickStyle5.xml"/><Relationship Id="rId37" Type="http://schemas.openxmlformats.org/officeDocument/2006/relationships/diagramQuickStyle" Target="diagrams/quickStyle6.xml"/><Relationship Id="rId40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diagramLayout" Target="diagrams/layout6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diagramLayout" Target="diagrams/layout5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diagramData" Target="diagrams/data5.xml"/><Relationship Id="rId35" Type="http://schemas.openxmlformats.org/officeDocument/2006/relationships/diagramData" Target="diagrams/data6.xml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7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Рис. 2. Динаміка дохідної частини  бюджету 
за І квартал 2019 та І квартал 2020 років</a:t>
            </a:r>
          </a:p>
        </c:rich>
      </c:tx>
      <c:layout>
        <c:manualLayout>
          <c:xMode val="edge"/>
          <c:yMode val="edge"/>
          <c:x val="0.17386575489474276"/>
          <c:y val="0"/>
        </c:manualLayout>
      </c:layout>
      <c:overlay val="0"/>
      <c:spPr>
        <a:noFill/>
        <a:ln w="21294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862833253487641E-2"/>
          <c:y val="0.29601238306750138"/>
          <c:w val="0.92113716674651236"/>
          <c:h val="0.703987567343555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Податки, збори та інші платежі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1705668226729069"/>
                  <c:y val="2.5071225071225136E-2"/>
                </c:manualLayout>
              </c:layout>
              <c:tx>
                <c:rich>
                  <a:bodyPr/>
                  <a:lstStyle/>
                  <a:p>
                    <a:pPr>
                      <a:defRPr sz="92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Податки, збори та інші платежі       18 788,2 тис.грн.</a:t>
                    </a:r>
                  </a:p>
                </c:rich>
              </c:tx>
              <c:spPr>
                <a:noFill/>
                <a:ln w="21294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280291211648468E-2"/>
                  <c:y val="1.3675213675213675E-2"/>
                </c:manualLayout>
              </c:layout>
              <c:tx>
                <c:rich>
                  <a:bodyPr/>
                  <a:lstStyle/>
                  <a:p>
                    <a:pPr>
                      <a:defRPr sz="92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Податки, збори та інші платежі       24 218,1 тис.грн.</a:t>
                    </a:r>
                  </a:p>
                </c:rich>
              </c:tx>
              <c:spPr>
                <a:noFill/>
                <a:ln w="21294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1294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uk-UA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І квартал 2019 року</c:v>
                </c:pt>
                <c:pt idx="1">
                  <c:v>І квартал 2020 року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18788.2</c:v>
                </c:pt>
                <c:pt idx="1">
                  <c:v>24218.1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Офіційні трансферти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2402496099844039E-3"/>
                  <c:y val="-9.3447293447293509E-2"/>
                </c:manualLayout>
              </c:layout>
              <c:tx>
                <c:rich>
                  <a:bodyPr/>
                  <a:lstStyle/>
                  <a:p>
                    <a:pPr>
                      <a:defRPr sz="92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Офіційні трансферти          13 305,3 тис.грн.</a:t>
                    </a:r>
                  </a:p>
                </c:rich>
              </c:tx>
              <c:spPr>
                <a:noFill/>
                <a:ln w="21294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4882995319812837E-2"/>
                  <c:y val="-8.888888888888892E-2"/>
                </c:manualLayout>
              </c:layout>
              <c:tx>
                <c:rich>
                  <a:bodyPr/>
                  <a:lstStyle/>
                  <a:p>
                    <a:pPr>
                      <a:defRPr sz="92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Офіційні трансферти          13 071,0 тис.гр.</a:t>
                    </a:r>
                  </a:p>
                </c:rich>
              </c:tx>
              <c:spPr>
                <a:noFill/>
                <a:ln w="21294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1294">
                <a:noFill/>
              </a:ln>
            </c:spPr>
            <c:txPr>
              <a:bodyPr/>
              <a:lstStyle/>
              <a:p>
                <a:pPr>
                  <a:defRPr sz="92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І квартал 2019 року</c:v>
                </c:pt>
                <c:pt idx="1">
                  <c:v>І квартал 2020 року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13305.3</c:v>
                </c:pt>
                <c:pt idx="1">
                  <c:v>13071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77065728"/>
        <c:axId val="277079936"/>
        <c:axId val="0"/>
      </c:bar3DChart>
      <c:catAx>
        <c:axId val="277065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6" b="1"/>
            </a:pPr>
            <a:endParaRPr lang="uk-UA"/>
          </a:p>
        </c:txPr>
        <c:crossAx val="277079936"/>
        <c:crosses val="autoZero"/>
        <c:auto val="1"/>
        <c:lblAlgn val="ctr"/>
        <c:lblOffset val="100"/>
        <c:noMultiLvlLbl val="0"/>
      </c:catAx>
      <c:valAx>
        <c:axId val="2770799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77065728"/>
        <c:crosses val="autoZero"/>
        <c:crossBetween val="between"/>
      </c:valAx>
      <c:spPr>
        <a:noFill/>
        <a:ln w="21294">
          <a:noFill/>
        </a:ln>
      </c:spPr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682021200209326E-2"/>
          <c:y val="3.8773655238620461E-2"/>
          <c:w val="0.96736144713642158"/>
          <c:h val="0.933659718491580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7"/>
          <c:dLbls>
            <c:dLbl>
              <c:idx val="0"/>
              <c:layout>
                <c:manualLayout>
                  <c:x val="-6.6962087641555881E-2"/>
                  <c:y val="-0.1328751431844215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Податок на доходи фізичних осіб, податок на прибуток</a:t>
                    </a:r>
                  </a:p>
                  <a:p>
                    <a:r>
                      <a:rPr lang="ru-RU"/>
                      <a:t>10858,3 тис.грн.</a:t>
                    </a:r>
                  </a:p>
                  <a:p>
                    <a:r>
                      <a:rPr lang="ru-RU"/>
                      <a:t> 29,1%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"/>
                  <c:y val="-0.1947308132875143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Акцизний податок</a:t>
                    </a:r>
                  </a:p>
                  <a:p>
                    <a:r>
                      <a:rPr lang="ru-RU"/>
                      <a:t>1382,0 тис.грн.</a:t>
                    </a:r>
                  </a:p>
                  <a:p>
                    <a:r>
                      <a:rPr lang="ru-RU"/>
                      <a:t> 3,7%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"/>
                  <c:y val="0.1328751431844215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Податок на нерухоме майно</a:t>
                    </a:r>
                  </a:p>
                  <a:p>
                    <a:r>
                      <a:rPr lang="ru-RU"/>
                      <a:t> 330,7 тис.грн.</a:t>
                    </a:r>
                  </a:p>
                  <a:p>
                    <a:r>
                      <a:rPr lang="ru-RU"/>
                      <a:t> 0,1%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19891678975873953"/>
                  <c:y val="0.1374570446735396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Плата за землю; 4177,7</a:t>
                    </a:r>
                    <a:r>
                      <a:rPr lang="ru-RU" baseline="0"/>
                      <a:t> тис.грн</a:t>
                    </a:r>
                  </a:p>
                  <a:p>
                    <a:r>
                      <a:rPr lang="ru-RU"/>
                      <a:t>11,2%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3.5450516986706058E-2"/>
                  <c:y val="9.851088201603673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Єдиний податок 4322,0</a:t>
                    </a:r>
                    <a:r>
                      <a:rPr lang="ru-RU" baseline="0"/>
                      <a:t> тис.грн.</a:t>
                    </a:r>
                  </a:p>
                  <a:p>
                    <a:r>
                      <a:rPr lang="ru-RU"/>
                      <a:t>11,6%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Транспортний податок</a:t>
                    </a:r>
                  </a:p>
                  <a:p>
                    <a:r>
                      <a:rPr lang="ru-RU"/>
                      <a:t> 10,8 тис.грн.</a:t>
                    </a:r>
                  </a:p>
                  <a:p>
                    <a:r>
                      <a:rPr lang="ru-RU"/>
                      <a:t> 0,03%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9.4534711964549489E-2"/>
                  <c:y val="9.85108820160366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Плата за надання адмінпослуг, адмінштрафи та збори</a:t>
                    </a:r>
                  </a:p>
                  <a:p>
                    <a:r>
                      <a:rPr lang="ru-RU"/>
                      <a:t>354,4 тис.грн.</a:t>
                    </a:r>
                  </a:p>
                  <a:p>
                    <a:r>
                      <a:rPr lang="ru-RU"/>
                      <a:t> 1,0%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9.4534711964549475E-2"/>
                  <c:y val="-5.956471935853370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Державне мито; 22,4</a:t>
                    </a:r>
                    <a:r>
                      <a:rPr lang="ru-RU" baseline="0"/>
                      <a:t> тис.грн.</a:t>
                    </a:r>
                    <a:r>
                      <a:rPr lang="ru-RU"/>
                      <a:t> </a:t>
                    </a:r>
                  </a:p>
                  <a:p>
                    <a:r>
                      <a:rPr lang="ru-RU"/>
                      <a:t>0,06%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0.10044313146233383"/>
                  <c:y val="0.1832760595647193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Рентна плата</a:t>
                    </a:r>
                  </a:p>
                  <a:p>
                    <a:r>
                      <a:rPr lang="ru-RU"/>
                      <a:t> 39,5 тис.грн.</a:t>
                    </a:r>
                  </a:p>
                  <a:p>
                    <a:r>
                      <a:rPr lang="ru-RU"/>
                      <a:t> 0,1%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Офіційні трансферти 13071,0 тис.грн.</a:t>
                    </a:r>
                  </a:p>
                  <a:p>
                    <a:r>
                      <a:rPr lang="ru-RU"/>
                      <a:t> 35,1%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-4.9236829148202856E-2"/>
                  <c:y val="-4.81099656357388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Власні надходження бюджетних установ</a:t>
                    </a:r>
                  </a:p>
                  <a:p>
                    <a:r>
                      <a:rPr lang="ru-RU"/>
                      <a:t> 2606,5</a:t>
                    </a:r>
                    <a:r>
                      <a:rPr lang="ru-RU" baseline="0"/>
                      <a:t> тис.грн.</a:t>
                    </a:r>
                  </a:p>
                  <a:p>
                    <a:r>
                      <a:rPr lang="ru-RU"/>
                      <a:t>7,0%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-5.9084194977843431E-3"/>
                  <c:y val="-5.04009163802978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Екологічний податок;</a:t>
                    </a:r>
                  </a:p>
                  <a:p>
                    <a:r>
                      <a:rPr lang="ru-RU"/>
                      <a:t>17,7</a:t>
                    </a:r>
                    <a:r>
                      <a:rPr lang="ru-RU" baseline="0"/>
                      <a:t> тис.грн.</a:t>
                    </a:r>
                  </a:p>
                  <a:p>
                    <a:r>
                      <a:rPr lang="ru-RU"/>
                      <a:t> 0,05%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0.10241260462826195"/>
                  <c:y val="-0.1512027491408934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Інші надходження 96,1 тис.грн.</a:t>
                    </a:r>
                  </a:p>
                  <a:p>
                    <a:r>
                      <a:rPr lang="ru-RU"/>
                      <a:t> 0,03%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Лист1!$A$2:$A$14</c:f>
              <c:strCache>
                <c:ptCount val="13"/>
                <c:pt idx="0">
                  <c:v>Податок на доходи фізичних осіб, податок на прибуток</c:v>
                </c:pt>
                <c:pt idx="1">
                  <c:v>Акцизний податок</c:v>
                </c:pt>
                <c:pt idx="2">
                  <c:v>Податок на нерухоме майно</c:v>
                </c:pt>
                <c:pt idx="3">
                  <c:v>Плата за землю</c:v>
                </c:pt>
                <c:pt idx="4">
                  <c:v>Єдиний податок</c:v>
                </c:pt>
                <c:pt idx="5">
                  <c:v>Транспортний податок</c:v>
                </c:pt>
                <c:pt idx="6">
                  <c:v>Плата за надання адмінпослуг, адмінштрафи та збори</c:v>
                </c:pt>
                <c:pt idx="7">
                  <c:v>Державне мито</c:v>
                </c:pt>
                <c:pt idx="8">
                  <c:v>Рентна плата</c:v>
                </c:pt>
                <c:pt idx="9">
                  <c:v>Офіційні трансферти</c:v>
                </c:pt>
                <c:pt idx="10">
                  <c:v>Власні надходження бюджетних установ</c:v>
                </c:pt>
                <c:pt idx="11">
                  <c:v>Екологічний податок</c:v>
                </c:pt>
                <c:pt idx="12">
                  <c:v>Інші надходження</c:v>
                </c:pt>
              </c:strCache>
            </c:strRef>
          </c:cat>
          <c:val>
            <c:numRef>
              <c:f>Лист1!$B$2:$B$14</c:f>
              <c:numCache>
                <c:formatCode>0.0</c:formatCode>
                <c:ptCount val="13"/>
                <c:pt idx="0">
                  <c:v>10858.300000000001</c:v>
                </c:pt>
                <c:pt idx="1">
                  <c:v>1382</c:v>
                </c:pt>
                <c:pt idx="2">
                  <c:v>330.70000000000005</c:v>
                </c:pt>
                <c:pt idx="3">
                  <c:v>4177.7</c:v>
                </c:pt>
                <c:pt idx="4">
                  <c:v>4322</c:v>
                </c:pt>
                <c:pt idx="5">
                  <c:v>10.8</c:v>
                </c:pt>
                <c:pt idx="6">
                  <c:v>354.4</c:v>
                </c:pt>
                <c:pt idx="7">
                  <c:v>22.4</c:v>
                </c:pt>
                <c:pt idx="8">
                  <c:v>39.5</c:v>
                </c:pt>
                <c:pt idx="9">
                  <c:v>13071</c:v>
                </c:pt>
                <c:pt idx="10">
                  <c:v>2606.5</c:v>
                </c:pt>
                <c:pt idx="11">
                  <c:v>17.7</c:v>
                </c:pt>
                <c:pt idx="12">
                  <c:v>96.1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cene3d>
      <a:camera prst="orthographicFront"/>
      <a:lightRig rig="threePt" dir="t"/>
    </a:scene3d>
    <a:sp3d prstMaterial="legacyWireframe"/>
  </c:spPr>
  <c:txPr>
    <a:bodyPr/>
    <a:lstStyle/>
    <a:p>
      <a:pPr>
        <a:defRPr sz="1800"/>
      </a:pPr>
      <a:endParaRPr lang="uk-UA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457900348100887E-2"/>
          <c:y val="0.38471182540538595"/>
          <c:w val="0.82407407407407451"/>
          <c:h val="0.5940386826180883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бюджету міста за функціональною ознакою  за  2019 рік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explosion val="31"/>
          </c:dPt>
          <c:dPt>
            <c:idx val="7"/>
            <c:bubble3D val="0"/>
            <c:explosion val="47"/>
          </c:dPt>
          <c:dPt>
            <c:idx val="8"/>
            <c:bubble3D val="0"/>
          </c:dPt>
          <c:dLbls>
            <c:dLbl>
              <c:idx val="0"/>
              <c:delete val="1"/>
            </c:dLbl>
            <c:dLbl>
              <c:idx val="1"/>
              <c:layout>
                <c:manualLayout>
                  <c:x val="0.12600069363270855"/>
                  <c:y val="-0.2069332686153957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.18902073619264156"/>
                  <c:y val="-1.920360982274476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.20439317842202845"/>
                  <c:y val="0.2778655672332805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.16774094102837478"/>
                  <c:y val="-1.3238233919390214E-2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9933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Освіта
23414,5</a:t>
                    </a:r>
                  </a:p>
                  <a:p>
                    <a:pPr>
                      <a:defRPr sz="1200" b="0" i="0" u="none" strike="noStrike" baseline="0">
                        <a:solidFill>
                          <a:srgbClr val="9933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63,4%</a:t>
                    </a:r>
                  </a:p>
                </c:rich>
              </c:tx>
              <c:numFmt formatCode="0.0%" sourceLinked="0"/>
              <c:spPr>
                <a:noFill/>
                <a:ln w="25398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2.7826555927084457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-7.3188355533861701E-2"/>
                  <c:y val="-0.1060538677300530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5.3886355559551791E-2"/>
                  <c:y val="-0.1283856578013585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5.7590354223666596E-2"/>
                  <c:y val="-7.5740596803082039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1200">
                    <a:solidFill>
                      <a:schemeClr val="accent6">
                        <a:lumMod val="50000"/>
                      </a:schemeClr>
                    </a:solidFill>
                  </a:defRPr>
                </a:pPr>
                <a:endParaRPr lang="uk-UA"/>
              </a:p>
            </c:txPr>
            <c:dLblPos val="outEnd"/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Лист1!$A$2:$A$10</c:f>
              <c:strCache>
                <c:ptCount val="9"/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Міжбюджетні трансферти</c:v>
                </c:pt>
                <c:pt idx="8">
                  <c:v>Економічна та інша діяльність(землеустрій, дороги,інфраструктура, соцекономічний розвиток та інші)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1">
                  <c:v>2513.8000000000002</c:v>
                </c:pt>
                <c:pt idx="2">
                  <c:v>633.29999999999995</c:v>
                </c:pt>
                <c:pt idx="3">
                  <c:v>1043.7</c:v>
                </c:pt>
                <c:pt idx="4">
                  <c:v>23414.5</c:v>
                </c:pt>
                <c:pt idx="5">
                  <c:v>1364.2</c:v>
                </c:pt>
                <c:pt idx="6">
                  <c:v>3392.2000000000003</c:v>
                </c:pt>
                <c:pt idx="7">
                  <c:v>4061.6</c:v>
                </c:pt>
                <c:pt idx="8">
                  <c:v>518.4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6911505192285747"/>
          <c:w val="1"/>
          <c:h val="0.8308849480771425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на функціонування та розвиток установ соціально-культурної сфери за економічною ознакою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  <c:explosion val="37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</c:dPt>
          <c:dPt>
            <c:idx val="13"/>
            <c:bubble3D val="0"/>
          </c:dPt>
          <c:dPt>
            <c:idx val="14"/>
            <c:bubble3D val="0"/>
          </c:dPt>
          <c:dLbls>
            <c:dLbl>
              <c:idx val="0"/>
              <c:layout>
                <c:manualLayout>
                  <c:x val="-1.1908466997180912E-2"/>
                  <c:y val="0.2004593175853019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"/>
                  <c:y val="9.1607530540163962E-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"/>
                  <c:y val="-7.303425034833609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"/>
                  <c:y val="-6.562975924305750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"/>
                  <c:y val="-0.1209727487767732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-4.1209131265999142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0"/>
                  <c:y val="-6.8905900651307472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0.12031558185404341"/>
                  <c:y val="-4.3718123197563269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1.5661370731025484E-2"/>
                  <c:y val="-5.3466349113768186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-0.12356800074546895"/>
                  <c:y val="-7.629500016201679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0"/>
              <c:layout>
                <c:manualLayout>
                  <c:x val="5.5006134588206058E-2"/>
                  <c:y val="-0.1314873140857392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1"/>
              <c:layout>
                <c:manualLayout>
                  <c:x val="-7.9329639350636791E-2"/>
                  <c:y val="-0.1403643757493277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2"/>
              <c:layout>
                <c:manualLayout>
                  <c:x val="9.6459453679401175E-2"/>
                  <c:y val="-0.1886110301027187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3"/>
              <c:layout>
                <c:manualLayout>
                  <c:x val="0.30959603382910483"/>
                  <c:y val="-0.223659473121415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4"/>
              <c:layout>
                <c:manualLayout>
                  <c:x val="0.43575293088363964"/>
                  <c:y val="-0.15488253783091929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8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uk-UA"/>
                      <a:t>Придбання обладнання і предметів довгострокового користування
4781,3
4,1%</a:t>
                    </a:r>
                  </a:p>
                </c:rich>
              </c:tx>
              <c:numFmt formatCode="0.0%" sourceLinked="0"/>
              <c:spPr>
                <a:noFill/>
                <a:ln w="25399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0.57209588801399847"/>
                  <c:y val="-0.1160725511162956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6"/>
              <c:layout>
                <c:manualLayout>
                  <c:x val="0.45673366384757474"/>
                  <c:y val="-2.167784582482746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7"/>
              <c:layout>
                <c:manualLayout>
                  <c:x val="0.39857155633323621"/>
                  <c:y val="8.5897897022131506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8"/>
              <c:layout>
                <c:manualLayout>
                  <c:x val="0.29399358047277074"/>
                  <c:y val="0.2146662102019856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baseline="0">
                    <a:solidFill>
                      <a:srgbClr val="12066E"/>
                    </a:solidFill>
                  </a:defRPr>
                </a:pPr>
                <a:endParaRPr lang="uk-UA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Лист1!$A$2:$A$19</c:f>
              <c:strCache>
                <c:ptCount val="15"/>
                <c:pt idx="0">
                  <c:v>Оплата праці і нарахування на заробітну плату</c:v>
                </c:pt>
                <c:pt idx="1">
                  <c:v>Предмети, матеріали, обладнання та інвентар</c:v>
                </c:pt>
                <c:pt idx="2">
                  <c:v>Продукти харчування</c:v>
                </c:pt>
                <c:pt idx="3">
                  <c:v>Оплата послуг (крім комунальних)</c:v>
                </c:pt>
                <c:pt idx="4">
                  <c:v>Оплата електроенергії</c:v>
                </c:pt>
                <c:pt idx="5">
                  <c:v>Оплата водопостачання та водовідведення </c:v>
                </c:pt>
                <c:pt idx="6">
                  <c:v>Оплата інших енергоносіїв</c:v>
                </c:pt>
                <c:pt idx="7">
                  <c:v>Поточні трансферти</c:v>
                </c:pt>
                <c:pt idx="8">
                  <c:v>Соціальне забезпечення</c:v>
                </c:pt>
                <c:pt idx="9">
                  <c:v>Видатки на відрядження</c:v>
                </c:pt>
                <c:pt idx="10">
                  <c:v>Інші поточні видатки</c:v>
                </c:pt>
                <c:pt idx="11">
                  <c:v>Дослідження і розробки, окремі заходи по реалізації державних програм</c:v>
                </c:pt>
                <c:pt idx="12">
                  <c:v>Придбання обладнання і предметів довгострокового користування</c:v>
                </c:pt>
                <c:pt idx="13">
                  <c:v>Капітальний ремонт інших об'єктів</c:v>
                </c:pt>
                <c:pt idx="14">
                  <c:v>Реконструкція та реставрація інших об'єктів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5"/>
                <c:pt idx="0">
                  <c:v>24453.3</c:v>
                </c:pt>
                <c:pt idx="1">
                  <c:v>824.9</c:v>
                </c:pt>
                <c:pt idx="2">
                  <c:v>757.3</c:v>
                </c:pt>
                <c:pt idx="3">
                  <c:v>1107.3</c:v>
                </c:pt>
                <c:pt idx="4">
                  <c:v>440</c:v>
                </c:pt>
                <c:pt idx="5">
                  <c:v>53.4</c:v>
                </c:pt>
                <c:pt idx="6">
                  <c:v>2325.6999999999998</c:v>
                </c:pt>
                <c:pt idx="7">
                  <c:v>4258</c:v>
                </c:pt>
                <c:pt idx="8">
                  <c:v>196.9</c:v>
                </c:pt>
                <c:pt idx="9">
                  <c:v>25</c:v>
                </c:pt>
                <c:pt idx="10">
                  <c:v>66.3</c:v>
                </c:pt>
                <c:pt idx="11">
                  <c:v>0.5</c:v>
                </c:pt>
                <c:pt idx="12">
                  <c:v>1929</c:v>
                </c:pt>
                <c:pt idx="13">
                  <c:v>90.5</c:v>
                </c:pt>
                <c:pt idx="14">
                  <c:v>413.6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1528FF-AE9C-40E5-9CCC-E3DF855B6E26}" type="doc">
      <dgm:prSet loTypeId="urn:microsoft.com/office/officeart/2005/8/layout/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E930DB5-1627-4D26-9707-8573EC203450}">
      <dgm:prSet phldrT="[Текст]" custT="1"/>
      <dgm:spPr/>
      <dgm:t>
        <a:bodyPr/>
        <a:lstStyle/>
        <a:p>
          <a:r>
            <a:rPr lang="uk-UA" sz="1400" b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І квартал 2019 року (9805,2тис.грн.)</a:t>
          </a:r>
          <a:endParaRPr lang="ru-RU" sz="14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1AC28F4-5EAE-4719-9FB0-DE830CC276E4}" type="parTrans" cxnId="{2800B4F3-D2E7-4C25-9F72-209EE85EBB46}">
      <dgm:prSet/>
      <dgm:spPr/>
      <dgm:t>
        <a:bodyPr/>
        <a:lstStyle/>
        <a:p>
          <a:endParaRPr lang="ru-RU"/>
        </a:p>
      </dgm:t>
    </dgm:pt>
    <dgm:pt modelId="{3630113A-6311-473E-A391-F0E717684792}" type="sibTrans" cxnId="{2800B4F3-D2E7-4C25-9F72-209EE85EBB46}">
      <dgm:prSet/>
      <dgm:spPr/>
      <dgm:t>
        <a:bodyPr/>
        <a:lstStyle/>
        <a:p>
          <a:endParaRPr lang="ru-RU"/>
        </a:p>
      </dgm:t>
    </dgm:pt>
    <dgm:pt modelId="{6EA37E67-6319-439B-AFD7-C1578390A8B6}">
      <dgm:prSet phldrT="[Текст]" custT="1"/>
      <dgm:spPr/>
      <dgm:t>
        <a:bodyPr/>
        <a:lstStyle/>
        <a:p>
          <a:r>
            <a:rPr lang="uk-UA" sz="1400" b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І квартал 2020 року року (10846,2 тис.грн.)</a:t>
          </a:r>
          <a:endParaRPr lang="ru-RU" sz="14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9456F17-5F85-4637-9757-0C412D0D716D}" type="parTrans" cxnId="{D8D1BB78-7F17-406B-BCED-FA52FB3799DC}">
      <dgm:prSet/>
      <dgm:spPr/>
      <dgm:t>
        <a:bodyPr/>
        <a:lstStyle/>
        <a:p>
          <a:endParaRPr lang="ru-RU"/>
        </a:p>
      </dgm:t>
    </dgm:pt>
    <dgm:pt modelId="{B3570216-D961-4939-AEEC-62601C2C522F}" type="sibTrans" cxnId="{D8D1BB78-7F17-406B-BCED-FA52FB3799DC}">
      <dgm:prSet/>
      <dgm:spPr/>
      <dgm:t>
        <a:bodyPr/>
        <a:lstStyle/>
        <a:p>
          <a:endParaRPr lang="ru-RU"/>
        </a:p>
      </dgm:t>
    </dgm:pt>
    <dgm:pt modelId="{80F89128-A270-4E35-8BB5-1193001BD9DF}">
      <dgm:prSet phldrT="[Текст]" custT="1"/>
      <dgm:spPr/>
      <dgm:t>
        <a:bodyPr/>
        <a:lstStyle/>
        <a:p>
          <a:r>
            <a:rPr lang="ru-RU" sz="1400" b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становить   +1041,0 тис.грн., або 110,6% </a:t>
          </a:r>
        </a:p>
      </dgm:t>
    </dgm:pt>
    <dgm:pt modelId="{015687C2-E24D-4740-AE45-A1E3A22E94DE}" type="parTrans" cxnId="{47637078-06BB-420C-9908-9CB6FD1AA9F7}">
      <dgm:prSet/>
      <dgm:spPr/>
      <dgm:t>
        <a:bodyPr/>
        <a:lstStyle/>
        <a:p>
          <a:endParaRPr lang="ru-RU"/>
        </a:p>
      </dgm:t>
    </dgm:pt>
    <dgm:pt modelId="{F72CB06E-D81D-4240-90DF-4F085D9BE820}" type="sibTrans" cxnId="{47637078-06BB-420C-9908-9CB6FD1AA9F7}">
      <dgm:prSet/>
      <dgm:spPr/>
      <dgm:t>
        <a:bodyPr/>
        <a:lstStyle/>
        <a:p>
          <a:endParaRPr lang="ru-RU"/>
        </a:p>
      </dgm:t>
    </dgm:pt>
    <dgm:pt modelId="{4178E824-0EAB-4F8A-8B4D-F9294862A670}" type="pres">
      <dgm:prSet presAssocID="{4D1528FF-AE9C-40E5-9CCC-E3DF855B6E2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E113277-B94E-45E9-B4FB-1BC658EB3BDF}" type="pres">
      <dgm:prSet presAssocID="{7E930DB5-1627-4D26-9707-8573EC203450}" presName="parentLin" presStyleCnt="0"/>
      <dgm:spPr/>
    </dgm:pt>
    <dgm:pt modelId="{F689546F-44F6-4204-B523-DF54E65B16D0}" type="pres">
      <dgm:prSet presAssocID="{7E930DB5-1627-4D26-9707-8573EC203450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DEFD212E-F27A-45AB-99D4-5144C70CD988}" type="pres">
      <dgm:prSet presAssocID="{7E930DB5-1627-4D26-9707-8573EC203450}" presName="parentText" presStyleLbl="node1" presStyleIdx="0" presStyleCnt="3" custScaleX="135120" custLinFactNeighborX="-64597" custLinFactNeighborY="1402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23F7FE-B225-446C-AAD6-5797DCD4D0BB}" type="pres">
      <dgm:prSet presAssocID="{7E930DB5-1627-4D26-9707-8573EC203450}" presName="negativeSpace" presStyleCnt="0"/>
      <dgm:spPr/>
    </dgm:pt>
    <dgm:pt modelId="{DC827496-DA42-4BFD-B5E4-668235A59E20}" type="pres">
      <dgm:prSet presAssocID="{7E930DB5-1627-4D26-9707-8573EC203450}" presName="childText" presStyleLbl="conFgAcc1" presStyleIdx="0" presStyleCnt="3">
        <dgm:presLayoutVars>
          <dgm:bulletEnabled val="1"/>
        </dgm:presLayoutVars>
      </dgm:prSet>
      <dgm:spPr/>
    </dgm:pt>
    <dgm:pt modelId="{4C54389D-DFA5-47B0-B3FC-CAB600637888}" type="pres">
      <dgm:prSet presAssocID="{3630113A-6311-473E-A391-F0E717684792}" presName="spaceBetweenRectangles" presStyleCnt="0"/>
      <dgm:spPr/>
    </dgm:pt>
    <dgm:pt modelId="{63E8A1F7-C744-44D8-B43A-27BB990ECBAF}" type="pres">
      <dgm:prSet presAssocID="{6EA37E67-6319-439B-AFD7-C1578390A8B6}" presName="parentLin" presStyleCnt="0"/>
      <dgm:spPr/>
    </dgm:pt>
    <dgm:pt modelId="{DDFB2AF7-E88C-47B4-99D4-C5B6D3627C29}" type="pres">
      <dgm:prSet presAssocID="{6EA37E67-6319-439B-AFD7-C1578390A8B6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AA06FE2E-9EB6-4CDB-ADA3-CD3B058B323C}" type="pres">
      <dgm:prSet presAssocID="{6EA37E67-6319-439B-AFD7-C1578390A8B6}" presName="parentText" presStyleLbl="node1" presStyleIdx="1" presStyleCnt="3" custScaleX="136607" custLinFactNeighborX="-68654" custLinFactNeighborY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612942-5B55-4169-A0AE-877E4F2F3AF1}" type="pres">
      <dgm:prSet presAssocID="{6EA37E67-6319-439B-AFD7-C1578390A8B6}" presName="negativeSpace" presStyleCnt="0"/>
      <dgm:spPr/>
    </dgm:pt>
    <dgm:pt modelId="{298D072D-732E-45E1-B61E-2D9E2845DA40}" type="pres">
      <dgm:prSet presAssocID="{6EA37E67-6319-439B-AFD7-C1578390A8B6}" presName="childText" presStyleLbl="conFgAcc1" presStyleIdx="1" presStyleCnt="3">
        <dgm:presLayoutVars>
          <dgm:bulletEnabled val="1"/>
        </dgm:presLayoutVars>
      </dgm:prSet>
      <dgm:spPr/>
    </dgm:pt>
    <dgm:pt modelId="{9FB93C63-EB97-4CD1-BB6B-4E9264FF488D}" type="pres">
      <dgm:prSet presAssocID="{B3570216-D961-4939-AEEC-62601C2C522F}" presName="spaceBetweenRectangles" presStyleCnt="0"/>
      <dgm:spPr/>
    </dgm:pt>
    <dgm:pt modelId="{7B8700B7-44FE-43A4-8D8E-508592351726}" type="pres">
      <dgm:prSet presAssocID="{80F89128-A270-4E35-8BB5-1193001BD9DF}" presName="parentLin" presStyleCnt="0"/>
      <dgm:spPr/>
    </dgm:pt>
    <dgm:pt modelId="{E362D7CE-76E0-4520-AB62-95E29D806260}" type="pres">
      <dgm:prSet presAssocID="{80F89128-A270-4E35-8BB5-1193001BD9DF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0136F0A0-1633-41C1-B81E-21BD6F5D1141}" type="pres">
      <dgm:prSet presAssocID="{80F89128-A270-4E35-8BB5-1193001BD9DF}" presName="parentText" presStyleLbl="node1" presStyleIdx="2" presStyleCnt="3" custScaleX="135119" custLinFactNeighborX="-51389" custLinFactNeighborY="806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1384B6-EB32-4E6F-AF31-EDEC34E18B8A}" type="pres">
      <dgm:prSet presAssocID="{80F89128-A270-4E35-8BB5-1193001BD9DF}" presName="negativeSpace" presStyleCnt="0"/>
      <dgm:spPr/>
    </dgm:pt>
    <dgm:pt modelId="{92FB4DFA-33A5-47A1-A142-B69F92122232}" type="pres">
      <dgm:prSet presAssocID="{80F89128-A270-4E35-8BB5-1193001BD9DF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A926858F-AD8A-45D4-8E03-3F3DD141CEEA}" type="presOf" srcId="{7E930DB5-1627-4D26-9707-8573EC203450}" destId="{F689546F-44F6-4204-B523-DF54E65B16D0}" srcOrd="0" destOrd="0" presId="urn:microsoft.com/office/officeart/2005/8/layout/list1"/>
    <dgm:cxn modelId="{4E991396-F997-4314-B729-F2606CE51912}" type="presOf" srcId="{7E930DB5-1627-4D26-9707-8573EC203450}" destId="{DEFD212E-F27A-45AB-99D4-5144C70CD988}" srcOrd="1" destOrd="0" presId="urn:microsoft.com/office/officeart/2005/8/layout/list1"/>
    <dgm:cxn modelId="{D8D1BB78-7F17-406B-BCED-FA52FB3799DC}" srcId="{4D1528FF-AE9C-40E5-9CCC-E3DF855B6E26}" destId="{6EA37E67-6319-439B-AFD7-C1578390A8B6}" srcOrd="1" destOrd="0" parTransId="{99456F17-5F85-4637-9757-0C412D0D716D}" sibTransId="{B3570216-D961-4939-AEEC-62601C2C522F}"/>
    <dgm:cxn modelId="{091DE1A8-0063-4292-B8C4-615DF04385F4}" type="presOf" srcId="{80F89128-A270-4E35-8BB5-1193001BD9DF}" destId="{0136F0A0-1633-41C1-B81E-21BD6F5D1141}" srcOrd="1" destOrd="0" presId="urn:microsoft.com/office/officeart/2005/8/layout/list1"/>
    <dgm:cxn modelId="{27D9B0CC-479A-4215-B7D2-0C59C0145C80}" type="presOf" srcId="{80F89128-A270-4E35-8BB5-1193001BD9DF}" destId="{E362D7CE-76E0-4520-AB62-95E29D806260}" srcOrd="0" destOrd="0" presId="urn:microsoft.com/office/officeart/2005/8/layout/list1"/>
    <dgm:cxn modelId="{7942E065-3969-46FC-99D2-5E7BAF90E673}" type="presOf" srcId="{6EA37E67-6319-439B-AFD7-C1578390A8B6}" destId="{AA06FE2E-9EB6-4CDB-ADA3-CD3B058B323C}" srcOrd="1" destOrd="0" presId="urn:microsoft.com/office/officeart/2005/8/layout/list1"/>
    <dgm:cxn modelId="{47637078-06BB-420C-9908-9CB6FD1AA9F7}" srcId="{4D1528FF-AE9C-40E5-9CCC-E3DF855B6E26}" destId="{80F89128-A270-4E35-8BB5-1193001BD9DF}" srcOrd="2" destOrd="0" parTransId="{015687C2-E24D-4740-AE45-A1E3A22E94DE}" sibTransId="{F72CB06E-D81D-4240-90DF-4F085D9BE820}"/>
    <dgm:cxn modelId="{E3C86803-2A7D-43C8-BB3A-F21141A62413}" type="presOf" srcId="{4D1528FF-AE9C-40E5-9CCC-E3DF855B6E26}" destId="{4178E824-0EAB-4F8A-8B4D-F9294862A670}" srcOrd="0" destOrd="0" presId="urn:microsoft.com/office/officeart/2005/8/layout/list1"/>
    <dgm:cxn modelId="{886F0049-9B5F-486F-BDC4-ACEA8441B126}" type="presOf" srcId="{6EA37E67-6319-439B-AFD7-C1578390A8B6}" destId="{DDFB2AF7-E88C-47B4-99D4-C5B6D3627C29}" srcOrd="0" destOrd="0" presId="urn:microsoft.com/office/officeart/2005/8/layout/list1"/>
    <dgm:cxn modelId="{2800B4F3-D2E7-4C25-9F72-209EE85EBB46}" srcId="{4D1528FF-AE9C-40E5-9CCC-E3DF855B6E26}" destId="{7E930DB5-1627-4D26-9707-8573EC203450}" srcOrd="0" destOrd="0" parTransId="{E1AC28F4-5EAE-4719-9FB0-DE830CC276E4}" sibTransId="{3630113A-6311-473E-A391-F0E717684792}"/>
    <dgm:cxn modelId="{20F620FD-5231-4793-8389-03381B16EBAB}" type="presParOf" srcId="{4178E824-0EAB-4F8A-8B4D-F9294862A670}" destId="{CE113277-B94E-45E9-B4FB-1BC658EB3BDF}" srcOrd="0" destOrd="0" presId="urn:microsoft.com/office/officeart/2005/8/layout/list1"/>
    <dgm:cxn modelId="{05650920-8B4B-4205-887F-89E351F957DF}" type="presParOf" srcId="{CE113277-B94E-45E9-B4FB-1BC658EB3BDF}" destId="{F689546F-44F6-4204-B523-DF54E65B16D0}" srcOrd="0" destOrd="0" presId="urn:microsoft.com/office/officeart/2005/8/layout/list1"/>
    <dgm:cxn modelId="{9A6ECDD9-1011-4680-801A-36A8DD813B4B}" type="presParOf" srcId="{CE113277-B94E-45E9-B4FB-1BC658EB3BDF}" destId="{DEFD212E-F27A-45AB-99D4-5144C70CD988}" srcOrd="1" destOrd="0" presId="urn:microsoft.com/office/officeart/2005/8/layout/list1"/>
    <dgm:cxn modelId="{C2967D4D-BB97-4AD1-8392-408329E6F27C}" type="presParOf" srcId="{4178E824-0EAB-4F8A-8B4D-F9294862A670}" destId="{B723F7FE-B225-446C-AAD6-5797DCD4D0BB}" srcOrd="1" destOrd="0" presId="urn:microsoft.com/office/officeart/2005/8/layout/list1"/>
    <dgm:cxn modelId="{91A6E023-1B7A-40B2-84B5-B75A6D64E8D2}" type="presParOf" srcId="{4178E824-0EAB-4F8A-8B4D-F9294862A670}" destId="{DC827496-DA42-4BFD-B5E4-668235A59E20}" srcOrd="2" destOrd="0" presId="urn:microsoft.com/office/officeart/2005/8/layout/list1"/>
    <dgm:cxn modelId="{F7D5D052-1801-438E-85CB-725C211CDD0B}" type="presParOf" srcId="{4178E824-0EAB-4F8A-8B4D-F9294862A670}" destId="{4C54389D-DFA5-47B0-B3FC-CAB600637888}" srcOrd="3" destOrd="0" presId="urn:microsoft.com/office/officeart/2005/8/layout/list1"/>
    <dgm:cxn modelId="{A8251658-377C-45BE-BA38-640D4DD00C81}" type="presParOf" srcId="{4178E824-0EAB-4F8A-8B4D-F9294862A670}" destId="{63E8A1F7-C744-44D8-B43A-27BB990ECBAF}" srcOrd="4" destOrd="0" presId="urn:microsoft.com/office/officeart/2005/8/layout/list1"/>
    <dgm:cxn modelId="{73313A6B-799F-49CB-98C3-C42FA98A0C5C}" type="presParOf" srcId="{63E8A1F7-C744-44D8-B43A-27BB990ECBAF}" destId="{DDFB2AF7-E88C-47B4-99D4-C5B6D3627C29}" srcOrd="0" destOrd="0" presId="urn:microsoft.com/office/officeart/2005/8/layout/list1"/>
    <dgm:cxn modelId="{74A3C46C-252D-44E6-9BD0-0BA04EAD9975}" type="presParOf" srcId="{63E8A1F7-C744-44D8-B43A-27BB990ECBAF}" destId="{AA06FE2E-9EB6-4CDB-ADA3-CD3B058B323C}" srcOrd="1" destOrd="0" presId="urn:microsoft.com/office/officeart/2005/8/layout/list1"/>
    <dgm:cxn modelId="{9C14D0E8-EAF2-4AC2-99B7-0E88B0744C8E}" type="presParOf" srcId="{4178E824-0EAB-4F8A-8B4D-F9294862A670}" destId="{60612942-5B55-4169-A0AE-877E4F2F3AF1}" srcOrd="5" destOrd="0" presId="urn:microsoft.com/office/officeart/2005/8/layout/list1"/>
    <dgm:cxn modelId="{B30E6AAB-569A-4AF4-BF16-C5855800B6DD}" type="presParOf" srcId="{4178E824-0EAB-4F8A-8B4D-F9294862A670}" destId="{298D072D-732E-45E1-B61E-2D9E2845DA40}" srcOrd="6" destOrd="0" presId="urn:microsoft.com/office/officeart/2005/8/layout/list1"/>
    <dgm:cxn modelId="{3345F5E9-4CF8-46AF-9740-10920916CECA}" type="presParOf" srcId="{4178E824-0EAB-4F8A-8B4D-F9294862A670}" destId="{9FB93C63-EB97-4CD1-BB6B-4E9264FF488D}" srcOrd="7" destOrd="0" presId="urn:microsoft.com/office/officeart/2005/8/layout/list1"/>
    <dgm:cxn modelId="{9C857DDD-9687-4793-A5DE-B6E0877E90FA}" type="presParOf" srcId="{4178E824-0EAB-4F8A-8B4D-F9294862A670}" destId="{7B8700B7-44FE-43A4-8D8E-508592351726}" srcOrd="8" destOrd="0" presId="urn:microsoft.com/office/officeart/2005/8/layout/list1"/>
    <dgm:cxn modelId="{270C0D0E-6390-485C-85D7-6938D284B9A2}" type="presParOf" srcId="{7B8700B7-44FE-43A4-8D8E-508592351726}" destId="{E362D7CE-76E0-4520-AB62-95E29D806260}" srcOrd="0" destOrd="0" presId="urn:microsoft.com/office/officeart/2005/8/layout/list1"/>
    <dgm:cxn modelId="{EA8839F5-99D6-4FBE-A2F5-E17131FDD47A}" type="presParOf" srcId="{7B8700B7-44FE-43A4-8D8E-508592351726}" destId="{0136F0A0-1633-41C1-B81E-21BD6F5D1141}" srcOrd="1" destOrd="0" presId="urn:microsoft.com/office/officeart/2005/8/layout/list1"/>
    <dgm:cxn modelId="{9F939F2D-552F-49B2-8D64-EF59CC4CFE40}" type="presParOf" srcId="{4178E824-0EAB-4F8A-8B4D-F9294862A670}" destId="{7F1384B6-EB32-4E6F-AF31-EDEC34E18B8A}" srcOrd="9" destOrd="0" presId="urn:microsoft.com/office/officeart/2005/8/layout/list1"/>
    <dgm:cxn modelId="{177EC25C-54C4-4389-AC83-F6F094DD30CF}" type="presParOf" srcId="{4178E824-0EAB-4F8A-8B4D-F9294862A670}" destId="{92FB4DFA-33A5-47A1-A142-B69F92122232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юридичних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квартал 2019року </a:t>
          </a:r>
        </a:p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769,6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+132,8 тис.грн. або 117,3%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квартал 2020року </a:t>
          </a:r>
        </a:p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902,4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184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160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EDDF7CB2-FECA-4760-B212-709E0D0F362D}" type="presOf" srcId="{018E694E-2160-46CF-8DEC-94977973E799}" destId="{AA2C7FBE-A683-447C-98C1-6693C7463562}" srcOrd="0" destOrd="0" presId="urn:microsoft.com/office/officeart/2005/8/layout/hList3"/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6E5DBBF7-5CC8-40A1-AFB1-F60094618F48}" type="presOf" srcId="{B97AC598-08D0-4456-AFFD-A66DB36EEAB9}" destId="{EE63E7A9-C424-4EE0-87C3-09471F56FF67}" srcOrd="0" destOrd="0" presId="urn:microsoft.com/office/officeart/2005/8/layout/hList3"/>
    <dgm:cxn modelId="{2956FA22-4B96-4A26-9A8D-CA26EA03B303}" type="presOf" srcId="{084E3DDC-0DBD-4530-A7F3-0297E20F11AC}" destId="{9BE461BD-92E5-458A-A0FD-39360F5A2659}" srcOrd="0" destOrd="0" presId="urn:microsoft.com/office/officeart/2005/8/layout/hList3"/>
    <dgm:cxn modelId="{91EB819F-E1C4-4D29-B875-F118324B4DCF}" type="presOf" srcId="{F3B87DBF-656F-4CC6-9990-C113FA0B16D6}" destId="{92E200D2-BF6A-406B-991E-DEF1A3D6F8B7}" srcOrd="0" destOrd="0" presId="urn:microsoft.com/office/officeart/2005/8/layout/hList3"/>
    <dgm:cxn modelId="{52648FB4-B258-4C16-8165-1F8C9259ABEA}" type="presOf" srcId="{34DC053F-1D54-492B-8335-CD8C939D1DA7}" destId="{FB664D42-0A4B-4C14-AB77-AC9CF1CDB986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59C881FB-366F-4BA9-B8BE-77936D21D757}" type="presParOf" srcId="{FB664D42-0A4B-4C14-AB77-AC9CF1CDB986}" destId="{9BE461BD-92E5-458A-A0FD-39360F5A2659}" srcOrd="0" destOrd="0" presId="urn:microsoft.com/office/officeart/2005/8/layout/hList3"/>
    <dgm:cxn modelId="{F522D205-F28D-413A-9C7C-913E10060758}" type="presParOf" srcId="{FB664D42-0A4B-4C14-AB77-AC9CF1CDB986}" destId="{ED6D801B-B9BA-4DB3-9EE7-A35FF80579B6}" srcOrd="1" destOrd="0" presId="urn:microsoft.com/office/officeart/2005/8/layout/hList3"/>
    <dgm:cxn modelId="{FEDB558A-CA6F-45DF-ADE1-5351FA133AD5}" type="presParOf" srcId="{ED6D801B-B9BA-4DB3-9EE7-A35FF80579B6}" destId="{AA2C7FBE-A683-447C-98C1-6693C7463562}" srcOrd="0" destOrd="0" presId="urn:microsoft.com/office/officeart/2005/8/layout/hList3"/>
    <dgm:cxn modelId="{60E04C8C-55CD-41F1-85A8-4887E2824995}" type="presParOf" srcId="{ED6D801B-B9BA-4DB3-9EE7-A35FF80579B6}" destId="{92E200D2-BF6A-406B-991E-DEF1A3D6F8B7}" srcOrd="1" destOrd="0" presId="urn:microsoft.com/office/officeart/2005/8/layout/hList3"/>
    <dgm:cxn modelId="{870C4BAD-2370-42C3-A44C-6034D821B4EB}" type="presParOf" srcId="{ED6D801B-B9BA-4DB3-9EE7-A35FF80579B6}" destId="{EE63E7A9-C424-4EE0-87C3-09471F56FF67}" srcOrd="2" destOrd="0" presId="urn:microsoft.com/office/officeart/2005/8/layout/hList3"/>
    <dgm:cxn modelId="{6B79D2E6-02E5-4A43-8BF1-1C1D097D6641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фізичних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квартал 2019року </a:t>
          </a:r>
        </a:p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3,0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</a:t>
          </a:r>
        </a:p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  - 21,8тис.грн.                 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квартал 2020року </a:t>
          </a:r>
        </a:p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- 18,9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102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121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ADB917B3-AE6D-417D-80A9-7EA3739188FA}" type="presOf" srcId="{B97AC598-08D0-4456-AFFD-A66DB36EEAB9}" destId="{EE63E7A9-C424-4EE0-87C3-09471F56FF67}" srcOrd="0" destOrd="0" presId="urn:microsoft.com/office/officeart/2005/8/layout/hList3"/>
    <dgm:cxn modelId="{7FC1CEF9-B56D-48E9-9099-DE474F800783}" type="presOf" srcId="{084E3DDC-0DBD-4530-A7F3-0297E20F11AC}" destId="{9BE461BD-92E5-458A-A0FD-39360F5A2659}" srcOrd="0" destOrd="0" presId="urn:microsoft.com/office/officeart/2005/8/layout/hList3"/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789645DE-6A17-4965-959A-D6E821C3905B}" type="presOf" srcId="{34DC053F-1D54-492B-8335-CD8C939D1DA7}" destId="{FB664D42-0A4B-4C14-AB77-AC9CF1CDB986}" srcOrd="0" destOrd="0" presId="urn:microsoft.com/office/officeart/2005/8/layout/hList3"/>
    <dgm:cxn modelId="{FDC0A57F-1BEC-4D7C-852D-7958A70AE318}" type="presOf" srcId="{018E694E-2160-46CF-8DEC-94977973E799}" destId="{AA2C7FBE-A683-447C-98C1-6693C7463562}" srcOrd="0" destOrd="0" presId="urn:microsoft.com/office/officeart/2005/8/layout/hList3"/>
    <dgm:cxn modelId="{CE24468E-3FFF-4FBE-B68D-979CBB1795F2}" type="presOf" srcId="{F3B87DBF-656F-4CC6-9990-C113FA0B16D6}" destId="{92E200D2-BF6A-406B-991E-DEF1A3D6F8B7}" srcOrd="0" destOrd="0" presId="urn:microsoft.com/office/officeart/2005/8/layout/hList3"/>
    <dgm:cxn modelId="{50310860-4EB6-45C4-804F-935C776AE02B}" type="presParOf" srcId="{FB664D42-0A4B-4C14-AB77-AC9CF1CDB986}" destId="{9BE461BD-92E5-458A-A0FD-39360F5A2659}" srcOrd="0" destOrd="0" presId="urn:microsoft.com/office/officeart/2005/8/layout/hList3"/>
    <dgm:cxn modelId="{033BFEAB-1957-4C74-A044-12B7619D216B}" type="presParOf" srcId="{FB664D42-0A4B-4C14-AB77-AC9CF1CDB986}" destId="{ED6D801B-B9BA-4DB3-9EE7-A35FF80579B6}" srcOrd="1" destOrd="0" presId="urn:microsoft.com/office/officeart/2005/8/layout/hList3"/>
    <dgm:cxn modelId="{D02A75E8-2CFC-4C7F-A759-15C60150277A}" type="presParOf" srcId="{ED6D801B-B9BA-4DB3-9EE7-A35FF80579B6}" destId="{AA2C7FBE-A683-447C-98C1-6693C7463562}" srcOrd="0" destOrd="0" presId="urn:microsoft.com/office/officeart/2005/8/layout/hList3"/>
    <dgm:cxn modelId="{E2BD01FB-94BE-4721-8C8C-0047CC6995C9}" type="presParOf" srcId="{ED6D801B-B9BA-4DB3-9EE7-A35FF80579B6}" destId="{92E200D2-BF6A-406B-991E-DEF1A3D6F8B7}" srcOrd="1" destOrd="0" presId="urn:microsoft.com/office/officeart/2005/8/layout/hList3"/>
    <dgm:cxn modelId="{D9B9B0AB-1FCF-434D-B286-B78D7A25C875}" type="presParOf" srcId="{ED6D801B-B9BA-4DB3-9EE7-A35FF80579B6}" destId="{EE63E7A9-C424-4EE0-87C3-09471F56FF67}" srcOrd="2" destOrd="0" presId="urn:microsoft.com/office/officeart/2005/8/layout/hList3"/>
    <dgm:cxn modelId="{A36D286B-9A5B-43FA-BB33-1B222E15FD9B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юридичних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квартал 2019року  -2952,4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   -109,7 тис.грн. або 96,3%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квартал 2020року </a:t>
          </a:r>
        </a:p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2842,7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44518" custLinFactNeighborX="2812" custLinFactNeighborY="-11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305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F7C3FACA-B47F-46CD-9BFD-9E8CBDC2E0A1}" type="presOf" srcId="{F3B87DBF-656F-4CC6-9990-C113FA0B16D6}" destId="{92E200D2-BF6A-406B-991E-DEF1A3D6F8B7}" srcOrd="0" destOrd="0" presId="urn:microsoft.com/office/officeart/2005/8/layout/hList3"/>
    <dgm:cxn modelId="{522FF518-AD92-48B3-A994-E110B3E91E81}" type="presOf" srcId="{34DC053F-1D54-492B-8335-CD8C939D1DA7}" destId="{FB664D42-0A4B-4C14-AB77-AC9CF1CDB986}" srcOrd="0" destOrd="0" presId="urn:microsoft.com/office/officeart/2005/8/layout/hList3"/>
    <dgm:cxn modelId="{3DC7F9A6-B740-42D3-83C2-7EB2F043ABC2}" type="presOf" srcId="{018E694E-2160-46CF-8DEC-94977973E799}" destId="{AA2C7FBE-A683-447C-98C1-6693C7463562}" srcOrd="0" destOrd="0" presId="urn:microsoft.com/office/officeart/2005/8/layout/hList3"/>
    <dgm:cxn modelId="{EBDB9F8D-6D8C-4470-A524-174993F9E390}" type="presOf" srcId="{084E3DDC-0DBD-4530-A7F3-0297E20F11AC}" destId="{9BE461BD-92E5-458A-A0FD-39360F5A2659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E94725EA-75C5-4157-9EF9-102EB2D9E6D5}" type="presOf" srcId="{B97AC598-08D0-4456-AFFD-A66DB36EEAB9}" destId="{EE63E7A9-C424-4EE0-87C3-09471F56FF67}" srcOrd="0" destOrd="0" presId="urn:microsoft.com/office/officeart/2005/8/layout/hList3"/>
    <dgm:cxn modelId="{1AB8F17E-456E-4CA4-AE56-C1477C8E859B}" type="presParOf" srcId="{FB664D42-0A4B-4C14-AB77-AC9CF1CDB986}" destId="{9BE461BD-92E5-458A-A0FD-39360F5A2659}" srcOrd="0" destOrd="0" presId="urn:microsoft.com/office/officeart/2005/8/layout/hList3"/>
    <dgm:cxn modelId="{EBEB76B9-108D-4A5E-96D6-EE1C965FB0CE}" type="presParOf" srcId="{FB664D42-0A4B-4C14-AB77-AC9CF1CDB986}" destId="{ED6D801B-B9BA-4DB3-9EE7-A35FF80579B6}" srcOrd="1" destOrd="0" presId="urn:microsoft.com/office/officeart/2005/8/layout/hList3"/>
    <dgm:cxn modelId="{1BE122E6-DFE8-401B-8A07-06A47FBC5107}" type="presParOf" srcId="{ED6D801B-B9BA-4DB3-9EE7-A35FF80579B6}" destId="{AA2C7FBE-A683-447C-98C1-6693C7463562}" srcOrd="0" destOrd="0" presId="urn:microsoft.com/office/officeart/2005/8/layout/hList3"/>
    <dgm:cxn modelId="{A5BA773F-3F2C-4505-B69B-B8AB884263DB}" type="presParOf" srcId="{ED6D801B-B9BA-4DB3-9EE7-A35FF80579B6}" destId="{92E200D2-BF6A-406B-991E-DEF1A3D6F8B7}" srcOrd="1" destOrd="0" presId="urn:microsoft.com/office/officeart/2005/8/layout/hList3"/>
    <dgm:cxn modelId="{442DF56C-B92A-4337-8EC9-C260391E4406}" type="presParOf" srcId="{ED6D801B-B9BA-4DB3-9EE7-A35FF80579B6}" destId="{EE63E7A9-C424-4EE0-87C3-09471F56FF67}" srcOrd="2" destOrd="0" presId="urn:microsoft.com/office/officeart/2005/8/layout/hList3"/>
    <dgm:cxn modelId="{442A2BFD-606B-4668-8A1A-0BB6F983D745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5_1" csCatId="accent5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фізичних осіб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квартал 2019року  </a:t>
          </a:r>
        </a:p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380,1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     + 74,5 тис.грн.            або 118,8%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квартал 2020року </a:t>
          </a:r>
        </a:p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451,5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441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265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51DEC6F4-7710-452A-8DB7-4A6BD9D8D7B3}" type="presOf" srcId="{084E3DDC-0DBD-4530-A7F3-0297E20F11AC}" destId="{9BE461BD-92E5-458A-A0FD-39360F5A2659}" srcOrd="0" destOrd="0" presId="urn:microsoft.com/office/officeart/2005/8/layout/hList3"/>
    <dgm:cxn modelId="{E11153CB-9414-4866-BA5C-319B91A6E5D5}" type="presOf" srcId="{B97AC598-08D0-4456-AFFD-A66DB36EEAB9}" destId="{EE63E7A9-C424-4EE0-87C3-09471F56FF67}" srcOrd="0" destOrd="0" presId="urn:microsoft.com/office/officeart/2005/8/layout/hList3"/>
    <dgm:cxn modelId="{92B1A928-B9D0-4614-9527-F31D6E781197}" type="presOf" srcId="{F3B87DBF-656F-4CC6-9990-C113FA0B16D6}" destId="{92E200D2-BF6A-406B-991E-DEF1A3D6F8B7}" srcOrd="0" destOrd="0" presId="urn:microsoft.com/office/officeart/2005/8/layout/hList3"/>
    <dgm:cxn modelId="{7908AADB-6853-47C7-A096-029DA806502C}" type="presOf" srcId="{34DC053F-1D54-492B-8335-CD8C939D1DA7}" destId="{FB664D42-0A4B-4C14-AB77-AC9CF1CDB986}" srcOrd="0" destOrd="0" presId="urn:microsoft.com/office/officeart/2005/8/layout/hList3"/>
    <dgm:cxn modelId="{B706C88C-E369-4BBC-82B5-B155983D6976}" type="presOf" srcId="{018E694E-2160-46CF-8DEC-94977973E799}" destId="{AA2C7FBE-A683-447C-98C1-6693C7463562}" srcOrd="0" destOrd="0" presId="urn:microsoft.com/office/officeart/2005/8/layout/hList3"/>
    <dgm:cxn modelId="{85F70167-5875-4515-9C86-E57DBE0537C2}" type="presParOf" srcId="{FB664D42-0A4B-4C14-AB77-AC9CF1CDB986}" destId="{9BE461BD-92E5-458A-A0FD-39360F5A2659}" srcOrd="0" destOrd="0" presId="urn:microsoft.com/office/officeart/2005/8/layout/hList3"/>
    <dgm:cxn modelId="{AD0863E3-D428-45DC-8005-5513D6DDA3E4}" type="presParOf" srcId="{FB664D42-0A4B-4C14-AB77-AC9CF1CDB986}" destId="{ED6D801B-B9BA-4DB3-9EE7-A35FF80579B6}" srcOrd="1" destOrd="0" presId="urn:microsoft.com/office/officeart/2005/8/layout/hList3"/>
    <dgm:cxn modelId="{BAFAF213-3AD9-4469-ABB4-89A4DDB8EAAD}" type="presParOf" srcId="{ED6D801B-B9BA-4DB3-9EE7-A35FF80579B6}" destId="{AA2C7FBE-A683-447C-98C1-6693C7463562}" srcOrd="0" destOrd="0" presId="urn:microsoft.com/office/officeart/2005/8/layout/hList3"/>
    <dgm:cxn modelId="{D499D9BE-6E46-45D9-A3EF-B00C3FA2AF37}" type="presParOf" srcId="{ED6D801B-B9BA-4DB3-9EE7-A35FF80579B6}" destId="{92E200D2-BF6A-406B-991E-DEF1A3D6F8B7}" srcOrd="1" destOrd="0" presId="urn:microsoft.com/office/officeart/2005/8/layout/hList3"/>
    <dgm:cxn modelId="{4239C66C-FAB7-41B2-947B-A5BED3B28019}" type="presParOf" srcId="{ED6D801B-B9BA-4DB3-9EE7-A35FF80579B6}" destId="{EE63E7A9-C424-4EE0-87C3-09471F56FF67}" srcOrd="2" destOrd="0" presId="urn:microsoft.com/office/officeart/2005/8/layout/hList3"/>
    <dgm:cxn modelId="{AF7294B4-83CE-4E86-B805-2153721C8F1D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ACB2C5C0-1D57-482F-9B3E-5B1CEA3D08BA}" type="doc">
      <dgm:prSet loTypeId="urn:microsoft.com/office/officeart/2005/8/layout/lProcess2" loCatId="list" qsTypeId="urn:microsoft.com/office/officeart/2005/8/quickstyle/simple1#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D3FDBD3B-51B0-41D5-8F1F-238FFFB56A91}">
      <dgm:prSet phldrT="[Текст]" custT="1"/>
      <dgm:spPr/>
      <dgm:t>
        <a:bodyPr/>
        <a:lstStyle/>
        <a:p>
          <a:r>
            <a:rPr lang="ru-RU" sz="1800" b="1">
              <a:solidFill>
                <a:schemeClr val="accent6">
                  <a:lumMod val="50000"/>
                </a:schemeClr>
              </a:solidFill>
            </a:rPr>
            <a:t>Єдиний податок з юридичних осіб</a:t>
          </a:r>
        </a:p>
      </dgm:t>
    </dgm:pt>
    <dgm:pt modelId="{5F5FB4C0-6930-49FD-881D-0A9000E577CC}" type="parTrans" cxnId="{E17A44B3-DA39-4884-8738-634CA00AD707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59D517D-3E98-483B-B78A-9857A60F3E84}" type="sibTrans" cxnId="{E17A44B3-DA39-4884-8738-634CA00AD707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FBD828C5-1EEA-4259-802F-0F316DB2AD3B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І квартал 2019 року </a:t>
          </a:r>
        </a:p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139,8тис.грн.                </a:t>
          </a:r>
        </a:p>
      </dgm:t>
    </dgm:pt>
    <dgm:pt modelId="{55C523CE-7136-4B0E-88FD-C953CE80CD3B}" type="parTrans" cxnId="{BF91EFE3-F8A3-4D6F-AD60-6FBAC30E9A3F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2C4347D-E67F-47BF-B2CB-24A5119C2836}" type="sibTrans" cxnId="{BF91EFE3-F8A3-4D6F-AD60-6FBAC30E9A3F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0DF7D2E2-A6FC-4AB8-B605-61D4BBD64FD0}">
      <dgm:prSet phldrT="[Текст]" custT="1"/>
      <dgm:spPr/>
      <dgm:t>
        <a:bodyPr/>
        <a:lstStyle/>
        <a:p>
          <a:r>
            <a:rPr lang="ru-RU" sz="1800" b="1">
              <a:solidFill>
                <a:schemeClr val="accent6">
                  <a:lumMod val="50000"/>
                </a:schemeClr>
              </a:solidFill>
            </a:rPr>
            <a:t>Єдиний  податок з фізичних осіб</a:t>
          </a:r>
        </a:p>
      </dgm:t>
    </dgm:pt>
    <dgm:pt modelId="{D00B21FD-65C0-4422-B54E-C298B420C0E5}" type="parTrans" cxnId="{7B8926AE-BD57-44B3-9197-7363694C4B28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852FC933-828E-4950-A306-E852154CC341}" type="sibTrans" cxnId="{7B8926AE-BD57-44B3-9197-7363694C4B28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8D6A665-17B7-4C4A-B82C-8883D374452F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І квартал 2019 року 2210,5 тис.грн.</a:t>
          </a:r>
        </a:p>
      </dgm:t>
    </dgm:pt>
    <dgm:pt modelId="{2321F2FB-AA07-43D2-977A-31AB9D49F2E3}" type="parTrans" cxnId="{51F06E7F-B72C-4A5B-B338-DAF3383A8D2D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2FD8E6FA-DA4C-4393-8459-A5A89941C877}" type="sibTrans" cxnId="{51F06E7F-B72C-4A5B-B338-DAF3383A8D2D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E42AA4E4-4CE3-46E9-B9CE-E3C3949630C3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І квартал 2020 року</a:t>
          </a:r>
        </a:p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2595,4 тис.грн. </a:t>
          </a:r>
        </a:p>
      </dgm:t>
    </dgm:pt>
    <dgm:pt modelId="{1D091AB8-3754-491B-A115-6B03751D0C5A}" type="parTrans" cxnId="{BFAAFA3B-9BFF-433F-BEC7-8A49D2D4175A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CA65B18-83B7-4F5C-9A66-59145AF8DB59}" type="sibTrans" cxnId="{BFAAFA3B-9BFF-433F-BEC7-8A49D2D4175A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3674E33D-8B27-4C1A-B652-68D025B97537}">
      <dgm:prSet phldrT="[Текст]" custT="1"/>
      <dgm:spPr/>
      <dgm:t>
        <a:bodyPr/>
        <a:lstStyle/>
        <a:p>
          <a:r>
            <a:rPr lang="ru-RU" sz="1800" b="1">
              <a:solidFill>
                <a:schemeClr val="accent6">
                  <a:lumMod val="50000"/>
                </a:schemeClr>
              </a:solidFill>
            </a:rPr>
            <a:t>Єдиний податок з </a:t>
          </a:r>
          <a:r>
            <a:rPr lang="ru-RU" sz="2000" b="1">
              <a:solidFill>
                <a:schemeClr val="accent6">
                  <a:lumMod val="50000"/>
                </a:schemeClr>
              </a:solidFill>
            </a:rPr>
            <a:t>с/г </a:t>
          </a:r>
          <a:r>
            <a:rPr lang="ru-RU" sz="1800" b="1">
              <a:solidFill>
                <a:schemeClr val="accent6">
                  <a:lumMod val="50000"/>
                </a:schemeClr>
              </a:solidFill>
            </a:rPr>
            <a:t>товаровиробників</a:t>
          </a:r>
        </a:p>
      </dgm:t>
    </dgm:pt>
    <dgm:pt modelId="{A33F598A-5069-4CA9-B6A2-7674A5069AAA}" type="parTrans" cxnId="{13EB613E-D138-4901-B8A1-B92075A9A021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4CF06834-C515-4B77-87BC-0CEC7AA4916F}" type="sibTrans" cxnId="{13EB613E-D138-4901-B8A1-B92075A9A021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E1830F2-5972-45A9-92D5-3FC9D6FE639D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І квартал 2019 року  650,7 тис.грн.</a:t>
          </a:r>
        </a:p>
      </dgm:t>
    </dgm:pt>
    <dgm:pt modelId="{EAFD513A-31FC-4792-A6A2-0BFD54239552}" type="parTrans" cxnId="{6112FF19-7FB5-4DCA-88DA-B22CFAC2EDD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93A94BF1-2E2E-4CCD-874F-7058E4F33EDC}" type="sibTrans" cxnId="{6112FF19-7FB5-4DCA-88DA-B22CFAC2EDD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F3C47FE1-0D94-4F33-89B1-FD62F21DDE3D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І квартал 2020 року         1597,3 тис.грн. </a:t>
          </a:r>
        </a:p>
      </dgm:t>
    </dgm:pt>
    <dgm:pt modelId="{81DD7ED7-33F4-410C-8394-3ADC229158BA}" type="parTrans" cxnId="{D2D1DE96-B82B-4BAD-99BF-076119A18859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D8320E7-56DC-4F97-8928-C2E91925CB59}" type="sibTrans" cxnId="{D2D1DE96-B82B-4BAD-99BF-076119A18859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6EDC4DD3-7BE0-466A-A8A1-307F476A455E}">
      <dgm:prSet phldrT="[Текст]" custT="1"/>
      <dgm:spPr/>
      <dgm:t>
        <a:bodyPr/>
        <a:lstStyle/>
        <a:p>
          <a:r>
            <a:rPr lang="ru-RU" sz="1600">
              <a:solidFill>
                <a:schemeClr val="accent6">
                  <a:lumMod val="50000"/>
                </a:schemeClr>
              </a:solidFill>
            </a:rPr>
            <a:t>І квартал 2020 року  129,3 тис.грн.</a:t>
          </a:r>
        </a:p>
      </dgm:t>
    </dgm:pt>
    <dgm:pt modelId="{6E8444CB-7B7D-495E-8A5F-3EFABFE21098}" type="sibTrans" cxnId="{D372BD3B-7BAD-4529-9372-1EBB12BD687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B6E94BD3-0F78-42D4-BA7E-BBBB046F2FFA}" type="parTrans" cxnId="{D372BD3B-7BAD-4529-9372-1EBB12BD687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92B33AD4-C2C2-48C0-8BC9-661ABA694C1C}">
      <dgm:prSet custT="1"/>
      <dgm:spPr/>
      <dgm:t>
        <a:bodyPr/>
        <a:lstStyle/>
        <a:p>
          <a:r>
            <a:rPr lang="ru-RU" sz="1600" b="1">
              <a:solidFill>
                <a:schemeClr val="accent6">
                  <a:lumMod val="50000"/>
                </a:schemeClr>
              </a:solidFill>
            </a:rPr>
            <a:t>Темп росту -                 -10,5 тис.грн.,            або 92,5%</a:t>
          </a:r>
        </a:p>
      </dgm:t>
    </dgm:pt>
    <dgm:pt modelId="{55ADA2D5-7012-4DEC-972B-8653148D69BD}" type="parTrans" cxnId="{81BAA0D5-439B-4C36-BE7C-BE925BB4CF03}">
      <dgm:prSet/>
      <dgm:spPr/>
      <dgm:t>
        <a:bodyPr/>
        <a:lstStyle/>
        <a:p>
          <a:endParaRPr lang="ru-RU"/>
        </a:p>
      </dgm:t>
    </dgm:pt>
    <dgm:pt modelId="{28336333-E155-4467-8413-BC85189B9578}" type="sibTrans" cxnId="{81BAA0D5-439B-4C36-BE7C-BE925BB4CF03}">
      <dgm:prSet/>
      <dgm:spPr/>
      <dgm:t>
        <a:bodyPr/>
        <a:lstStyle/>
        <a:p>
          <a:endParaRPr lang="ru-RU"/>
        </a:p>
      </dgm:t>
    </dgm:pt>
    <dgm:pt modelId="{83BB2042-9755-485B-9A0D-CEA855E2E913}">
      <dgm:prSet custT="1"/>
      <dgm:spPr/>
      <dgm:t>
        <a:bodyPr/>
        <a:lstStyle/>
        <a:p>
          <a:r>
            <a:rPr lang="ru-RU" sz="1600" b="1">
              <a:solidFill>
                <a:schemeClr val="accent6">
                  <a:lumMod val="50000"/>
                </a:schemeClr>
              </a:solidFill>
            </a:rPr>
            <a:t>Темп росту -      +384,9 тис.грн.,   або 117,4%</a:t>
          </a:r>
        </a:p>
      </dgm:t>
    </dgm:pt>
    <dgm:pt modelId="{E074EC3A-F6B7-43A4-AE97-95E2FF8DDE04}" type="parTrans" cxnId="{C51178C3-51FC-426F-A6DE-7883DF3C4923}">
      <dgm:prSet/>
      <dgm:spPr/>
      <dgm:t>
        <a:bodyPr/>
        <a:lstStyle/>
        <a:p>
          <a:endParaRPr lang="ru-RU"/>
        </a:p>
      </dgm:t>
    </dgm:pt>
    <dgm:pt modelId="{2D079DB1-ED9B-44D4-80BD-1497A2950CD2}" type="sibTrans" cxnId="{C51178C3-51FC-426F-A6DE-7883DF3C4923}">
      <dgm:prSet/>
      <dgm:spPr/>
      <dgm:t>
        <a:bodyPr/>
        <a:lstStyle/>
        <a:p>
          <a:endParaRPr lang="ru-RU"/>
        </a:p>
      </dgm:t>
    </dgm:pt>
    <dgm:pt modelId="{FB958280-55D0-4252-BB34-22CB3DCE2071}">
      <dgm:prSet custT="1"/>
      <dgm:spPr/>
      <dgm:t>
        <a:bodyPr/>
        <a:lstStyle/>
        <a:p>
          <a:r>
            <a:rPr lang="ru-RU" sz="1600" b="1">
              <a:solidFill>
                <a:schemeClr val="accent6">
                  <a:lumMod val="50000"/>
                </a:schemeClr>
              </a:solidFill>
            </a:rPr>
            <a:t>Темп росту -                  +946,6 тис.грн.,      або 245,5%</a:t>
          </a:r>
        </a:p>
      </dgm:t>
    </dgm:pt>
    <dgm:pt modelId="{3E60CC75-65AE-45AD-B541-799B80B36CCE}" type="parTrans" cxnId="{A6A2F47A-42F0-40E8-84CD-DB33341873B1}">
      <dgm:prSet/>
      <dgm:spPr/>
      <dgm:t>
        <a:bodyPr/>
        <a:lstStyle/>
        <a:p>
          <a:endParaRPr lang="ru-RU"/>
        </a:p>
      </dgm:t>
    </dgm:pt>
    <dgm:pt modelId="{D4185390-93A9-42A4-B716-BE7B1F5BD853}" type="sibTrans" cxnId="{A6A2F47A-42F0-40E8-84CD-DB33341873B1}">
      <dgm:prSet/>
      <dgm:spPr/>
      <dgm:t>
        <a:bodyPr/>
        <a:lstStyle/>
        <a:p>
          <a:endParaRPr lang="ru-RU"/>
        </a:p>
      </dgm:t>
    </dgm:pt>
    <dgm:pt modelId="{C9DFF695-92BA-40E1-BF2F-96E68E19F27E}" type="pres">
      <dgm:prSet presAssocID="{ACB2C5C0-1D57-482F-9B3E-5B1CEA3D08B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21BE76E-E4A4-4409-9323-DB44565DCC56}" type="pres">
      <dgm:prSet presAssocID="{D3FDBD3B-51B0-41D5-8F1F-238FFFB56A91}" presName="compNode" presStyleCnt="0"/>
      <dgm:spPr/>
    </dgm:pt>
    <dgm:pt modelId="{614F77F8-D6F7-450F-BA8F-44B3EE5E93A3}" type="pres">
      <dgm:prSet presAssocID="{D3FDBD3B-51B0-41D5-8F1F-238FFFB56A91}" presName="aNode" presStyleLbl="bgShp" presStyleIdx="0" presStyleCnt="3" custLinFactNeighborX="-38" custLinFactNeighborY="-1786"/>
      <dgm:spPr/>
      <dgm:t>
        <a:bodyPr/>
        <a:lstStyle/>
        <a:p>
          <a:endParaRPr lang="ru-RU"/>
        </a:p>
      </dgm:t>
    </dgm:pt>
    <dgm:pt modelId="{973D5DDF-B9A8-408E-BA24-B2094E487AA5}" type="pres">
      <dgm:prSet presAssocID="{D3FDBD3B-51B0-41D5-8F1F-238FFFB56A91}" presName="textNode" presStyleLbl="bgShp" presStyleIdx="0" presStyleCnt="3"/>
      <dgm:spPr/>
      <dgm:t>
        <a:bodyPr/>
        <a:lstStyle/>
        <a:p>
          <a:endParaRPr lang="ru-RU"/>
        </a:p>
      </dgm:t>
    </dgm:pt>
    <dgm:pt modelId="{B9284097-10B9-4041-A8D0-D29BD4F7724F}" type="pres">
      <dgm:prSet presAssocID="{D3FDBD3B-51B0-41D5-8F1F-238FFFB56A91}" presName="compChildNode" presStyleCnt="0"/>
      <dgm:spPr/>
    </dgm:pt>
    <dgm:pt modelId="{EB7F96A0-D7E4-4053-9680-FC5E88E08F70}" type="pres">
      <dgm:prSet presAssocID="{D3FDBD3B-51B0-41D5-8F1F-238FFFB56A91}" presName="theInnerList" presStyleCnt="0"/>
      <dgm:spPr/>
    </dgm:pt>
    <dgm:pt modelId="{B995AA39-D88B-4F5D-A2D0-044F059CE9BB}" type="pres">
      <dgm:prSet presAssocID="{FBD828C5-1EEA-4259-802F-0F316DB2AD3B}" presName="childNode" presStyleLbl="node1" presStyleIdx="0" presStyleCnt="9" custScaleX="121532" custScaleY="65732" custLinFactY="-1421" custLinFactNeighborX="-1782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66DCC9-6CE8-4490-8212-350C638880B3}" type="pres">
      <dgm:prSet presAssocID="{FBD828C5-1EEA-4259-802F-0F316DB2AD3B}" presName="aSpace2" presStyleCnt="0"/>
      <dgm:spPr/>
    </dgm:pt>
    <dgm:pt modelId="{2C596296-6704-4CC8-B9BF-52C838285E88}" type="pres">
      <dgm:prSet presAssocID="{6EDC4DD3-7BE0-466A-A8A1-307F476A455E}" presName="childNode" presStyleLbl="node1" presStyleIdx="1" presStyleCnt="9" custScaleX="119647" custScaleY="59652" custLinFactY="-2226" custLinFactNeighborX="-2725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62686A-BA5B-411F-8E87-874D9EB8F3A2}" type="pres">
      <dgm:prSet presAssocID="{6EDC4DD3-7BE0-466A-A8A1-307F476A455E}" presName="aSpace2" presStyleCnt="0"/>
      <dgm:spPr/>
    </dgm:pt>
    <dgm:pt modelId="{22A2A73C-654B-4587-AA91-934DBD585DC4}" type="pres">
      <dgm:prSet presAssocID="{92B33AD4-C2C2-48C0-8BC9-661ABA694C1C}" presName="childNode" presStyleLbl="node1" presStyleIdx="2" presStyleCnt="9" custScaleX="122023" custScaleY="74575" custLinFactY="-3374" custLinFactNeighborX="-1537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14F4B4-E489-4E21-B754-729F7E6A2F1D}" type="pres">
      <dgm:prSet presAssocID="{D3FDBD3B-51B0-41D5-8F1F-238FFFB56A91}" presName="aSpace" presStyleCnt="0"/>
      <dgm:spPr/>
    </dgm:pt>
    <dgm:pt modelId="{C0D08081-2729-49B6-BDC0-E0A5F7D256AE}" type="pres">
      <dgm:prSet presAssocID="{0DF7D2E2-A6FC-4AB8-B605-61D4BBD64FD0}" presName="compNode" presStyleCnt="0"/>
      <dgm:spPr/>
    </dgm:pt>
    <dgm:pt modelId="{E9F66DB0-F6F9-4B80-B84F-9BDE22F808C2}" type="pres">
      <dgm:prSet presAssocID="{0DF7D2E2-A6FC-4AB8-B605-61D4BBD64FD0}" presName="aNode" presStyleLbl="bgShp" presStyleIdx="1" presStyleCnt="3"/>
      <dgm:spPr/>
      <dgm:t>
        <a:bodyPr/>
        <a:lstStyle/>
        <a:p>
          <a:endParaRPr lang="ru-RU"/>
        </a:p>
      </dgm:t>
    </dgm:pt>
    <dgm:pt modelId="{BCEE8F43-AADA-409D-B455-EB48CD74E13F}" type="pres">
      <dgm:prSet presAssocID="{0DF7D2E2-A6FC-4AB8-B605-61D4BBD64FD0}" presName="textNode" presStyleLbl="bgShp" presStyleIdx="1" presStyleCnt="3"/>
      <dgm:spPr/>
      <dgm:t>
        <a:bodyPr/>
        <a:lstStyle/>
        <a:p>
          <a:endParaRPr lang="ru-RU"/>
        </a:p>
      </dgm:t>
    </dgm:pt>
    <dgm:pt modelId="{9ECD4FC3-DF59-4531-8A71-18D81B93A9A3}" type="pres">
      <dgm:prSet presAssocID="{0DF7D2E2-A6FC-4AB8-B605-61D4BBD64FD0}" presName="compChildNode" presStyleCnt="0"/>
      <dgm:spPr/>
    </dgm:pt>
    <dgm:pt modelId="{CDF03F4F-2E06-4FBA-B1B3-26C3CC68D443}" type="pres">
      <dgm:prSet presAssocID="{0DF7D2E2-A6FC-4AB8-B605-61D4BBD64FD0}" presName="theInnerList" presStyleCnt="0"/>
      <dgm:spPr/>
    </dgm:pt>
    <dgm:pt modelId="{57A443D7-5825-44BD-A5ED-C6E1FF409E42}" type="pres">
      <dgm:prSet presAssocID="{58D6A665-17B7-4C4A-B82C-8883D374452F}" presName="childNode" presStyleLbl="node1" presStyleIdx="3" presStyleCnt="9" custScaleX="125699" custScaleY="47321" custLinFactNeighborX="-1188" custLinFactNeighborY="-583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003354-745F-4015-ADE1-204DC83569E6}" type="pres">
      <dgm:prSet presAssocID="{58D6A665-17B7-4C4A-B82C-8883D374452F}" presName="aSpace2" presStyleCnt="0"/>
      <dgm:spPr/>
    </dgm:pt>
    <dgm:pt modelId="{74A7BFD7-DE4B-4CEF-9E5B-9E14C4720914}" type="pres">
      <dgm:prSet presAssocID="{E42AA4E4-4CE3-46E9-B9CE-E3C3949630C3}" presName="childNode" presStyleLbl="node1" presStyleIdx="4" presStyleCnt="9" custScaleX="120589" custScaleY="42179" custLinFactNeighborX="0" custLinFactNeighborY="-828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3CD144-F6D0-4FAC-824B-6DF6C643FA50}" type="pres">
      <dgm:prSet presAssocID="{E42AA4E4-4CE3-46E9-B9CE-E3C3949630C3}" presName="aSpace2" presStyleCnt="0"/>
      <dgm:spPr/>
    </dgm:pt>
    <dgm:pt modelId="{7E0E7086-0779-4EE4-90A2-E516F5E4B779}" type="pres">
      <dgm:prSet presAssocID="{83BB2042-9755-485B-9A0D-CEA855E2E913}" presName="childNode" presStyleLbl="node1" presStyleIdx="5" presStyleCnt="9" custScaleX="117025" custScaleY="49456" custLinFactNeighborY="-842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05B2E9-1CB8-4F75-AE06-E7B38DD032E3}" type="pres">
      <dgm:prSet presAssocID="{0DF7D2E2-A6FC-4AB8-B605-61D4BBD64FD0}" presName="aSpace" presStyleCnt="0"/>
      <dgm:spPr/>
    </dgm:pt>
    <dgm:pt modelId="{8CFC5A69-DB1C-4B06-8D0A-83F36398D54F}" type="pres">
      <dgm:prSet presAssocID="{3674E33D-8B27-4C1A-B652-68D025B97537}" presName="compNode" presStyleCnt="0"/>
      <dgm:spPr/>
    </dgm:pt>
    <dgm:pt modelId="{173929A1-967C-4CFB-9E9C-8B27F18FDFFF}" type="pres">
      <dgm:prSet presAssocID="{3674E33D-8B27-4C1A-B652-68D025B97537}" presName="aNode" presStyleLbl="bgShp" presStyleIdx="2" presStyleCnt="3"/>
      <dgm:spPr/>
      <dgm:t>
        <a:bodyPr/>
        <a:lstStyle/>
        <a:p>
          <a:endParaRPr lang="ru-RU"/>
        </a:p>
      </dgm:t>
    </dgm:pt>
    <dgm:pt modelId="{1D81B244-0EAF-4E6E-960F-3EF07835721E}" type="pres">
      <dgm:prSet presAssocID="{3674E33D-8B27-4C1A-B652-68D025B97537}" presName="textNode" presStyleLbl="bgShp" presStyleIdx="2" presStyleCnt="3"/>
      <dgm:spPr/>
      <dgm:t>
        <a:bodyPr/>
        <a:lstStyle/>
        <a:p>
          <a:endParaRPr lang="ru-RU"/>
        </a:p>
      </dgm:t>
    </dgm:pt>
    <dgm:pt modelId="{B51912BE-C637-44AE-83D6-1E023F73D763}" type="pres">
      <dgm:prSet presAssocID="{3674E33D-8B27-4C1A-B652-68D025B97537}" presName="compChildNode" presStyleCnt="0"/>
      <dgm:spPr/>
    </dgm:pt>
    <dgm:pt modelId="{B90CBA9E-7A98-4AF0-B126-8E3C13744470}" type="pres">
      <dgm:prSet presAssocID="{3674E33D-8B27-4C1A-B652-68D025B97537}" presName="theInnerList" presStyleCnt="0"/>
      <dgm:spPr/>
    </dgm:pt>
    <dgm:pt modelId="{6F85DA38-8515-4187-81C6-3C6D9C0CF1ED}" type="pres">
      <dgm:prSet presAssocID="{7E1830F2-5972-45A9-92D5-3FC9D6FE639D}" presName="childNode" presStyleLbl="node1" presStyleIdx="6" presStyleCnt="9" custScaleX="122022" custScaleY="35215" custLinFactNeighborX="2145" custLinFactNeighborY="-547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AD3CFA-F36E-46B2-9FCB-DC33E991051C}" type="pres">
      <dgm:prSet presAssocID="{7E1830F2-5972-45A9-92D5-3FC9D6FE639D}" presName="aSpace2" presStyleCnt="0"/>
      <dgm:spPr/>
    </dgm:pt>
    <dgm:pt modelId="{9C61B4A9-59A6-41A7-A5DA-A4F88C9B05EC}" type="pres">
      <dgm:prSet presAssocID="{F3C47FE1-0D94-4F33-89B1-FD62F21DDE3D}" presName="childNode" presStyleLbl="node1" presStyleIdx="7" presStyleCnt="9" custScaleX="121532" custScaleY="37533" custLinFactNeighborX="1782" custLinFactNeighborY="-5341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E566A6-2331-4D64-8A00-2241388C63C9}" type="pres">
      <dgm:prSet presAssocID="{F3C47FE1-0D94-4F33-89B1-FD62F21DDE3D}" presName="aSpace2" presStyleCnt="0"/>
      <dgm:spPr/>
    </dgm:pt>
    <dgm:pt modelId="{95088396-CEC1-45DD-804F-0F41AADB86E3}" type="pres">
      <dgm:prSet presAssocID="{FB958280-55D0-4252-BB34-22CB3DCE2071}" presName="childNode" presStyleLbl="node1" presStyleIdx="8" presStyleCnt="9" custScaleX="125976" custScaleY="38413" custLinFactNeighborX="-246" custLinFactNeighborY="-620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8B76FE0-588D-4817-B4A7-9EFD9AE61602}" type="presOf" srcId="{6EDC4DD3-7BE0-466A-A8A1-307F476A455E}" destId="{2C596296-6704-4CC8-B9BF-52C838285E88}" srcOrd="0" destOrd="0" presId="urn:microsoft.com/office/officeart/2005/8/layout/lProcess2"/>
    <dgm:cxn modelId="{500FE4D3-9130-48EB-ACC5-8253D9C73F62}" type="presOf" srcId="{58D6A665-17B7-4C4A-B82C-8883D374452F}" destId="{57A443D7-5825-44BD-A5ED-C6E1FF409E42}" srcOrd="0" destOrd="0" presId="urn:microsoft.com/office/officeart/2005/8/layout/lProcess2"/>
    <dgm:cxn modelId="{13EB613E-D138-4901-B8A1-B92075A9A021}" srcId="{ACB2C5C0-1D57-482F-9B3E-5B1CEA3D08BA}" destId="{3674E33D-8B27-4C1A-B652-68D025B97537}" srcOrd="2" destOrd="0" parTransId="{A33F598A-5069-4CA9-B6A2-7674A5069AAA}" sibTransId="{4CF06834-C515-4B77-87BC-0CEC7AA4916F}"/>
    <dgm:cxn modelId="{C51178C3-51FC-426F-A6DE-7883DF3C4923}" srcId="{0DF7D2E2-A6FC-4AB8-B605-61D4BBD64FD0}" destId="{83BB2042-9755-485B-9A0D-CEA855E2E913}" srcOrd="2" destOrd="0" parTransId="{E074EC3A-F6B7-43A4-AE97-95E2FF8DDE04}" sibTransId="{2D079DB1-ED9B-44D4-80BD-1497A2950CD2}"/>
    <dgm:cxn modelId="{5EA39628-A351-4147-B866-F7E5B205CDA4}" type="presOf" srcId="{0DF7D2E2-A6FC-4AB8-B605-61D4BBD64FD0}" destId="{BCEE8F43-AADA-409D-B455-EB48CD74E13F}" srcOrd="1" destOrd="0" presId="urn:microsoft.com/office/officeart/2005/8/layout/lProcess2"/>
    <dgm:cxn modelId="{BF91EFE3-F8A3-4D6F-AD60-6FBAC30E9A3F}" srcId="{D3FDBD3B-51B0-41D5-8F1F-238FFFB56A91}" destId="{FBD828C5-1EEA-4259-802F-0F316DB2AD3B}" srcOrd="0" destOrd="0" parTransId="{55C523CE-7136-4B0E-88FD-C953CE80CD3B}" sibTransId="{52C4347D-E67F-47BF-B2CB-24A5119C2836}"/>
    <dgm:cxn modelId="{81BAA0D5-439B-4C36-BE7C-BE925BB4CF03}" srcId="{D3FDBD3B-51B0-41D5-8F1F-238FFFB56A91}" destId="{92B33AD4-C2C2-48C0-8BC9-661ABA694C1C}" srcOrd="2" destOrd="0" parTransId="{55ADA2D5-7012-4DEC-972B-8653148D69BD}" sibTransId="{28336333-E155-4467-8413-BC85189B9578}"/>
    <dgm:cxn modelId="{B6C727F5-AD44-493F-9EA9-A376CECFB763}" type="presOf" srcId="{E42AA4E4-4CE3-46E9-B9CE-E3C3949630C3}" destId="{74A7BFD7-DE4B-4CEF-9E5B-9E14C4720914}" srcOrd="0" destOrd="0" presId="urn:microsoft.com/office/officeart/2005/8/layout/lProcess2"/>
    <dgm:cxn modelId="{A50C3AC6-BE0D-4772-A32C-CD528A534951}" type="presOf" srcId="{FBD828C5-1EEA-4259-802F-0F316DB2AD3B}" destId="{B995AA39-D88B-4F5D-A2D0-044F059CE9BB}" srcOrd="0" destOrd="0" presId="urn:microsoft.com/office/officeart/2005/8/layout/lProcess2"/>
    <dgm:cxn modelId="{96A8E0D0-6F10-41DB-B03B-22A8FAAECA07}" type="presOf" srcId="{92B33AD4-C2C2-48C0-8BC9-661ABA694C1C}" destId="{22A2A73C-654B-4587-AA91-934DBD585DC4}" srcOrd="0" destOrd="0" presId="urn:microsoft.com/office/officeart/2005/8/layout/lProcess2"/>
    <dgm:cxn modelId="{39BDE6FA-2A91-4D33-82EE-FCE189129EA9}" type="presOf" srcId="{3674E33D-8B27-4C1A-B652-68D025B97537}" destId="{173929A1-967C-4CFB-9E9C-8B27F18FDFFF}" srcOrd="0" destOrd="0" presId="urn:microsoft.com/office/officeart/2005/8/layout/lProcess2"/>
    <dgm:cxn modelId="{E5ADA16A-BEC3-4CAC-AE21-B63EA567C7B8}" type="presOf" srcId="{F3C47FE1-0D94-4F33-89B1-FD62F21DDE3D}" destId="{9C61B4A9-59A6-41A7-A5DA-A4F88C9B05EC}" srcOrd="0" destOrd="0" presId="urn:microsoft.com/office/officeart/2005/8/layout/lProcess2"/>
    <dgm:cxn modelId="{C71C7F33-E78E-424C-97A2-5BBA7A536987}" type="presOf" srcId="{FB958280-55D0-4252-BB34-22CB3DCE2071}" destId="{95088396-CEC1-45DD-804F-0F41AADB86E3}" srcOrd="0" destOrd="0" presId="urn:microsoft.com/office/officeart/2005/8/layout/lProcess2"/>
    <dgm:cxn modelId="{BFAAFA3B-9BFF-433F-BEC7-8A49D2D4175A}" srcId="{0DF7D2E2-A6FC-4AB8-B605-61D4BBD64FD0}" destId="{E42AA4E4-4CE3-46E9-B9CE-E3C3949630C3}" srcOrd="1" destOrd="0" parTransId="{1D091AB8-3754-491B-A115-6B03751D0C5A}" sibTransId="{7CA65B18-83B7-4F5C-9A66-59145AF8DB59}"/>
    <dgm:cxn modelId="{B4A38DDF-1AEA-44E6-B77A-F70A25FCBBF6}" type="presOf" srcId="{D3FDBD3B-51B0-41D5-8F1F-238FFFB56A91}" destId="{614F77F8-D6F7-450F-BA8F-44B3EE5E93A3}" srcOrd="0" destOrd="0" presId="urn:microsoft.com/office/officeart/2005/8/layout/lProcess2"/>
    <dgm:cxn modelId="{D372BD3B-7BAD-4529-9372-1EBB12BD687C}" srcId="{D3FDBD3B-51B0-41D5-8F1F-238FFFB56A91}" destId="{6EDC4DD3-7BE0-466A-A8A1-307F476A455E}" srcOrd="1" destOrd="0" parTransId="{B6E94BD3-0F78-42D4-BA7E-BBBB046F2FFA}" sibTransId="{6E8444CB-7B7D-495E-8A5F-3EFABFE21098}"/>
    <dgm:cxn modelId="{F2F02E83-228D-4C76-9AFB-5B239D0124F3}" type="presOf" srcId="{83BB2042-9755-485B-9A0D-CEA855E2E913}" destId="{7E0E7086-0779-4EE4-90A2-E516F5E4B779}" srcOrd="0" destOrd="0" presId="urn:microsoft.com/office/officeart/2005/8/layout/lProcess2"/>
    <dgm:cxn modelId="{DDB52661-9DEB-4AD3-A9B5-3049540736EE}" type="presOf" srcId="{0DF7D2E2-A6FC-4AB8-B605-61D4BBD64FD0}" destId="{E9F66DB0-F6F9-4B80-B84F-9BDE22F808C2}" srcOrd="0" destOrd="0" presId="urn:microsoft.com/office/officeart/2005/8/layout/lProcess2"/>
    <dgm:cxn modelId="{041EDC84-B662-45DC-B00D-C00518B2B4F2}" type="presOf" srcId="{3674E33D-8B27-4C1A-B652-68D025B97537}" destId="{1D81B244-0EAF-4E6E-960F-3EF07835721E}" srcOrd="1" destOrd="0" presId="urn:microsoft.com/office/officeart/2005/8/layout/lProcess2"/>
    <dgm:cxn modelId="{E17A44B3-DA39-4884-8738-634CA00AD707}" srcId="{ACB2C5C0-1D57-482F-9B3E-5B1CEA3D08BA}" destId="{D3FDBD3B-51B0-41D5-8F1F-238FFFB56A91}" srcOrd="0" destOrd="0" parTransId="{5F5FB4C0-6930-49FD-881D-0A9000E577CC}" sibTransId="{759D517D-3E98-483B-B78A-9857A60F3E84}"/>
    <dgm:cxn modelId="{51F06E7F-B72C-4A5B-B338-DAF3383A8D2D}" srcId="{0DF7D2E2-A6FC-4AB8-B605-61D4BBD64FD0}" destId="{58D6A665-17B7-4C4A-B82C-8883D374452F}" srcOrd="0" destOrd="0" parTransId="{2321F2FB-AA07-43D2-977A-31AB9D49F2E3}" sibTransId="{2FD8E6FA-DA4C-4393-8459-A5A89941C877}"/>
    <dgm:cxn modelId="{7B8926AE-BD57-44B3-9197-7363694C4B28}" srcId="{ACB2C5C0-1D57-482F-9B3E-5B1CEA3D08BA}" destId="{0DF7D2E2-A6FC-4AB8-B605-61D4BBD64FD0}" srcOrd="1" destOrd="0" parTransId="{D00B21FD-65C0-4422-B54E-C298B420C0E5}" sibTransId="{852FC933-828E-4950-A306-E852154CC341}"/>
    <dgm:cxn modelId="{101E9628-976B-4905-BF32-5A8A34DB27EB}" type="presOf" srcId="{7E1830F2-5972-45A9-92D5-3FC9D6FE639D}" destId="{6F85DA38-8515-4187-81C6-3C6D9C0CF1ED}" srcOrd="0" destOrd="0" presId="urn:microsoft.com/office/officeart/2005/8/layout/lProcess2"/>
    <dgm:cxn modelId="{6112FF19-7FB5-4DCA-88DA-B22CFAC2EDDC}" srcId="{3674E33D-8B27-4C1A-B652-68D025B97537}" destId="{7E1830F2-5972-45A9-92D5-3FC9D6FE639D}" srcOrd="0" destOrd="0" parTransId="{EAFD513A-31FC-4792-A6A2-0BFD54239552}" sibTransId="{93A94BF1-2E2E-4CCD-874F-7058E4F33EDC}"/>
    <dgm:cxn modelId="{2E9BA9AB-DA72-4E23-A703-05619F418485}" type="presOf" srcId="{ACB2C5C0-1D57-482F-9B3E-5B1CEA3D08BA}" destId="{C9DFF695-92BA-40E1-BF2F-96E68E19F27E}" srcOrd="0" destOrd="0" presId="urn:microsoft.com/office/officeart/2005/8/layout/lProcess2"/>
    <dgm:cxn modelId="{D2D1DE96-B82B-4BAD-99BF-076119A18859}" srcId="{3674E33D-8B27-4C1A-B652-68D025B97537}" destId="{F3C47FE1-0D94-4F33-89B1-FD62F21DDE3D}" srcOrd="1" destOrd="0" parTransId="{81DD7ED7-33F4-410C-8394-3ADC229158BA}" sibTransId="{5D8320E7-56DC-4F97-8928-C2E91925CB59}"/>
    <dgm:cxn modelId="{A6A2F47A-42F0-40E8-84CD-DB33341873B1}" srcId="{3674E33D-8B27-4C1A-B652-68D025B97537}" destId="{FB958280-55D0-4252-BB34-22CB3DCE2071}" srcOrd="2" destOrd="0" parTransId="{3E60CC75-65AE-45AD-B541-799B80B36CCE}" sibTransId="{D4185390-93A9-42A4-B716-BE7B1F5BD853}"/>
    <dgm:cxn modelId="{1B799FB2-4C30-4BC3-840D-C3756B65AE24}" type="presOf" srcId="{D3FDBD3B-51B0-41D5-8F1F-238FFFB56A91}" destId="{973D5DDF-B9A8-408E-BA24-B2094E487AA5}" srcOrd="1" destOrd="0" presId="urn:microsoft.com/office/officeart/2005/8/layout/lProcess2"/>
    <dgm:cxn modelId="{B00EF205-6DB5-45B2-A15B-686523A7A699}" type="presParOf" srcId="{C9DFF695-92BA-40E1-BF2F-96E68E19F27E}" destId="{C21BE76E-E4A4-4409-9323-DB44565DCC56}" srcOrd="0" destOrd="0" presId="urn:microsoft.com/office/officeart/2005/8/layout/lProcess2"/>
    <dgm:cxn modelId="{EA5E2341-1679-4F2F-96EA-0E1AD6D1939A}" type="presParOf" srcId="{C21BE76E-E4A4-4409-9323-DB44565DCC56}" destId="{614F77F8-D6F7-450F-BA8F-44B3EE5E93A3}" srcOrd="0" destOrd="0" presId="urn:microsoft.com/office/officeart/2005/8/layout/lProcess2"/>
    <dgm:cxn modelId="{9C231FEF-9FBD-4C97-82DE-406BFE072E9F}" type="presParOf" srcId="{C21BE76E-E4A4-4409-9323-DB44565DCC56}" destId="{973D5DDF-B9A8-408E-BA24-B2094E487AA5}" srcOrd="1" destOrd="0" presId="urn:microsoft.com/office/officeart/2005/8/layout/lProcess2"/>
    <dgm:cxn modelId="{8DCC1ACD-0D5D-4B54-8DA0-1D0E806CEFAC}" type="presParOf" srcId="{C21BE76E-E4A4-4409-9323-DB44565DCC56}" destId="{B9284097-10B9-4041-A8D0-D29BD4F7724F}" srcOrd="2" destOrd="0" presId="urn:microsoft.com/office/officeart/2005/8/layout/lProcess2"/>
    <dgm:cxn modelId="{356A0252-3D4E-400E-8663-6A9CE2AF3699}" type="presParOf" srcId="{B9284097-10B9-4041-A8D0-D29BD4F7724F}" destId="{EB7F96A0-D7E4-4053-9680-FC5E88E08F70}" srcOrd="0" destOrd="0" presId="urn:microsoft.com/office/officeart/2005/8/layout/lProcess2"/>
    <dgm:cxn modelId="{50B3A877-00C6-4832-8DCB-4701286ECB8A}" type="presParOf" srcId="{EB7F96A0-D7E4-4053-9680-FC5E88E08F70}" destId="{B995AA39-D88B-4F5D-A2D0-044F059CE9BB}" srcOrd="0" destOrd="0" presId="urn:microsoft.com/office/officeart/2005/8/layout/lProcess2"/>
    <dgm:cxn modelId="{5D8A14C2-983F-473D-9F1F-77780391EC3B}" type="presParOf" srcId="{EB7F96A0-D7E4-4053-9680-FC5E88E08F70}" destId="{6866DCC9-6CE8-4490-8212-350C638880B3}" srcOrd="1" destOrd="0" presId="urn:microsoft.com/office/officeart/2005/8/layout/lProcess2"/>
    <dgm:cxn modelId="{E5E7DDC6-CBEB-4B6A-8B41-1EA984285EF8}" type="presParOf" srcId="{EB7F96A0-D7E4-4053-9680-FC5E88E08F70}" destId="{2C596296-6704-4CC8-B9BF-52C838285E88}" srcOrd="2" destOrd="0" presId="urn:microsoft.com/office/officeart/2005/8/layout/lProcess2"/>
    <dgm:cxn modelId="{D2005B53-1278-40C0-97D2-330121698C25}" type="presParOf" srcId="{EB7F96A0-D7E4-4053-9680-FC5E88E08F70}" destId="{C562686A-BA5B-411F-8E87-874D9EB8F3A2}" srcOrd="3" destOrd="0" presId="urn:microsoft.com/office/officeart/2005/8/layout/lProcess2"/>
    <dgm:cxn modelId="{8D437215-5641-4B2E-B300-6877729542BB}" type="presParOf" srcId="{EB7F96A0-D7E4-4053-9680-FC5E88E08F70}" destId="{22A2A73C-654B-4587-AA91-934DBD585DC4}" srcOrd="4" destOrd="0" presId="urn:microsoft.com/office/officeart/2005/8/layout/lProcess2"/>
    <dgm:cxn modelId="{B85E0F6E-85DB-4D23-82B2-1A66C945E475}" type="presParOf" srcId="{C9DFF695-92BA-40E1-BF2F-96E68E19F27E}" destId="{8014F4B4-E489-4E21-B754-729F7E6A2F1D}" srcOrd="1" destOrd="0" presId="urn:microsoft.com/office/officeart/2005/8/layout/lProcess2"/>
    <dgm:cxn modelId="{80201A69-25E7-4AF2-A6CB-E0F0DBD7CED4}" type="presParOf" srcId="{C9DFF695-92BA-40E1-BF2F-96E68E19F27E}" destId="{C0D08081-2729-49B6-BDC0-E0A5F7D256AE}" srcOrd="2" destOrd="0" presId="urn:microsoft.com/office/officeart/2005/8/layout/lProcess2"/>
    <dgm:cxn modelId="{05ECFA34-C17A-4B54-87E7-2EA6524977C8}" type="presParOf" srcId="{C0D08081-2729-49B6-BDC0-E0A5F7D256AE}" destId="{E9F66DB0-F6F9-4B80-B84F-9BDE22F808C2}" srcOrd="0" destOrd="0" presId="urn:microsoft.com/office/officeart/2005/8/layout/lProcess2"/>
    <dgm:cxn modelId="{D2D62FFF-A137-49F9-A134-4D41FDED6486}" type="presParOf" srcId="{C0D08081-2729-49B6-BDC0-E0A5F7D256AE}" destId="{BCEE8F43-AADA-409D-B455-EB48CD74E13F}" srcOrd="1" destOrd="0" presId="urn:microsoft.com/office/officeart/2005/8/layout/lProcess2"/>
    <dgm:cxn modelId="{FDBA2DFA-35D3-4379-98AA-623B7D99216A}" type="presParOf" srcId="{C0D08081-2729-49B6-BDC0-E0A5F7D256AE}" destId="{9ECD4FC3-DF59-4531-8A71-18D81B93A9A3}" srcOrd="2" destOrd="0" presId="urn:microsoft.com/office/officeart/2005/8/layout/lProcess2"/>
    <dgm:cxn modelId="{352CEDC1-6EF9-4A9B-8C3F-299FDDFB4801}" type="presParOf" srcId="{9ECD4FC3-DF59-4531-8A71-18D81B93A9A3}" destId="{CDF03F4F-2E06-4FBA-B1B3-26C3CC68D443}" srcOrd="0" destOrd="0" presId="urn:microsoft.com/office/officeart/2005/8/layout/lProcess2"/>
    <dgm:cxn modelId="{5DD6ABC1-2569-4AD6-BCCF-11525CF0CFA5}" type="presParOf" srcId="{CDF03F4F-2E06-4FBA-B1B3-26C3CC68D443}" destId="{57A443D7-5825-44BD-A5ED-C6E1FF409E42}" srcOrd="0" destOrd="0" presId="urn:microsoft.com/office/officeart/2005/8/layout/lProcess2"/>
    <dgm:cxn modelId="{FC691AA7-C390-43C8-9DBF-63015546CC69}" type="presParOf" srcId="{CDF03F4F-2E06-4FBA-B1B3-26C3CC68D443}" destId="{43003354-745F-4015-ADE1-204DC83569E6}" srcOrd="1" destOrd="0" presId="urn:microsoft.com/office/officeart/2005/8/layout/lProcess2"/>
    <dgm:cxn modelId="{65B21820-51B1-4CCD-B6D7-A614167520BA}" type="presParOf" srcId="{CDF03F4F-2E06-4FBA-B1B3-26C3CC68D443}" destId="{74A7BFD7-DE4B-4CEF-9E5B-9E14C4720914}" srcOrd="2" destOrd="0" presId="urn:microsoft.com/office/officeart/2005/8/layout/lProcess2"/>
    <dgm:cxn modelId="{C31E6EA5-DD41-4045-9DFC-339E344E4FB0}" type="presParOf" srcId="{CDF03F4F-2E06-4FBA-B1B3-26C3CC68D443}" destId="{763CD144-F6D0-4FAC-824B-6DF6C643FA50}" srcOrd="3" destOrd="0" presId="urn:microsoft.com/office/officeart/2005/8/layout/lProcess2"/>
    <dgm:cxn modelId="{79C0C237-8944-4754-8ADD-DD22955B465C}" type="presParOf" srcId="{CDF03F4F-2E06-4FBA-B1B3-26C3CC68D443}" destId="{7E0E7086-0779-4EE4-90A2-E516F5E4B779}" srcOrd="4" destOrd="0" presId="urn:microsoft.com/office/officeart/2005/8/layout/lProcess2"/>
    <dgm:cxn modelId="{E8B2C7DD-0253-467A-9AB2-D2530902F35D}" type="presParOf" srcId="{C9DFF695-92BA-40E1-BF2F-96E68E19F27E}" destId="{EE05B2E9-1CB8-4F75-AE06-E7B38DD032E3}" srcOrd="3" destOrd="0" presId="urn:microsoft.com/office/officeart/2005/8/layout/lProcess2"/>
    <dgm:cxn modelId="{095AC07D-74F4-4BEA-8ED3-3A6CE8470862}" type="presParOf" srcId="{C9DFF695-92BA-40E1-BF2F-96E68E19F27E}" destId="{8CFC5A69-DB1C-4B06-8D0A-83F36398D54F}" srcOrd="4" destOrd="0" presId="urn:microsoft.com/office/officeart/2005/8/layout/lProcess2"/>
    <dgm:cxn modelId="{00323824-3D8D-4D65-A147-5119533F29A4}" type="presParOf" srcId="{8CFC5A69-DB1C-4B06-8D0A-83F36398D54F}" destId="{173929A1-967C-4CFB-9E9C-8B27F18FDFFF}" srcOrd="0" destOrd="0" presId="urn:microsoft.com/office/officeart/2005/8/layout/lProcess2"/>
    <dgm:cxn modelId="{F5A11EAB-90B7-4E31-8E33-C0DE6D5AE12F}" type="presParOf" srcId="{8CFC5A69-DB1C-4B06-8D0A-83F36398D54F}" destId="{1D81B244-0EAF-4E6E-960F-3EF07835721E}" srcOrd="1" destOrd="0" presId="urn:microsoft.com/office/officeart/2005/8/layout/lProcess2"/>
    <dgm:cxn modelId="{60EC1C55-C8FA-402C-8F55-EAEC7FE2C93B}" type="presParOf" srcId="{8CFC5A69-DB1C-4B06-8D0A-83F36398D54F}" destId="{B51912BE-C637-44AE-83D6-1E023F73D763}" srcOrd="2" destOrd="0" presId="urn:microsoft.com/office/officeart/2005/8/layout/lProcess2"/>
    <dgm:cxn modelId="{0F2FEBE6-9E5C-47D7-9328-A2C0CB37E76A}" type="presParOf" srcId="{B51912BE-C637-44AE-83D6-1E023F73D763}" destId="{B90CBA9E-7A98-4AF0-B126-8E3C13744470}" srcOrd="0" destOrd="0" presId="urn:microsoft.com/office/officeart/2005/8/layout/lProcess2"/>
    <dgm:cxn modelId="{C5B33AD0-9875-41B3-9EF6-B8A098A41517}" type="presParOf" srcId="{B90CBA9E-7A98-4AF0-B126-8E3C13744470}" destId="{6F85DA38-8515-4187-81C6-3C6D9C0CF1ED}" srcOrd="0" destOrd="0" presId="urn:microsoft.com/office/officeart/2005/8/layout/lProcess2"/>
    <dgm:cxn modelId="{0C329794-4C04-42E5-87B4-7DE85DA50333}" type="presParOf" srcId="{B90CBA9E-7A98-4AF0-B126-8E3C13744470}" destId="{D7AD3CFA-F36E-46B2-9FCB-DC33E991051C}" srcOrd="1" destOrd="0" presId="urn:microsoft.com/office/officeart/2005/8/layout/lProcess2"/>
    <dgm:cxn modelId="{6B64B2AB-85B2-4BFB-84F4-833816028F0A}" type="presParOf" srcId="{B90CBA9E-7A98-4AF0-B126-8E3C13744470}" destId="{9C61B4A9-59A6-41A7-A5DA-A4F88C9B05EC}" srcOrd="2" destOrd="0" presId="urn:microsoft.com/office/officeart/2005/8/layout/lProcess2"/>
    <dgm:cxn modelId="{FAC7BAA2-7772-4E28-B075-2D51E2CA8482}" type="presParOf" srcId="{B90CBA9E-7A98-4AF0-B126-8E3C13744470}" destId="{F4E566A6-2331-4D64-8A00-2241388C63C9}" srcOrd="3" destOrd="0" presId="urn:microsoft.com/office/officeart/2005/8/layout/lProcess2"/>
    <dgm:cxn modelId="{952E2B5D-4EBD-4412-9103-84CA287E8080}" type="presParOf" srcId="{B90CBA9E-7A98-4AF0-B126-8E3C13744470}" destId="{95088396-CEC1-45DD-804F-0F41AADB86E3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827496-DA42-4BFD-B5E4-668235A59E20}">
      <dsp:nvSpPr>
        <dsp:cNvPr id="0" name=""/>
        <dsp:cNvSpPr/>
      </dsp:nvSpPr>
      <dsp:spPr>
        <a:xfrm>
          <a:off x="0" y="360219"/>
          <a:ext cx="5483860" cy="529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EFD212E-F27A-45AB-99D4-5144C70CD988}">
      <dsp:nvSpPr>
        <dsp:cNvPr id="0" name=""/>
        <dsp:cNvSpPr/>
      </dsp:nvSpPr>
      <dsp:spPr>
        <a:xfrm>
          <a:off x="97072" y="137172"/>
          <a:ext cx="5186854" cy="61992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5094" tIns="0" rIns="14509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І квартал 2019 року (9805,2тис.грн.)</a:t>
          </a:r>
          <a:endParaRPr lang="ru-RU" sz="1400" kern="12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27334" y="167434"/>
        <a:ext cx="5126330" cy="559396"/>
      </dsp:txXfrm>
    </dsp:sp>
    <dsp:sp modelId="{298D072D-732E-45E1-B61E-2D9E2845DA40}">
      <dsp:nvSpPr>
        <dsp:cNvPr id="0" name=""/>
        <dsp:cNvSpPr/>
      </dsp:nvSpPr>
      <dsp:spPr>
        <a:xfrm>
          <a:off x="0" y="1312780"/>
          <a:ext cx="5483860" cy="529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A06FE2E-9EB6-4CDB-ADA3-CD3B058B323C}">
      <dsp:nvSpPr>
        <dsp:cNvPr id="0" name=""/>
        <dsp:cNvSpPr/>
      </dsp:nvSpPr>
      <dsp:spPr>
        <a:xfrm>
          <a:off x="85360" y="1002819"/>
          <a:ext cx="5208088" cy="619920"/>
        </a:xfrm>
        <a:prstGeom prst="roundRect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5094" tIns="0" rIns="14509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І квартал 2020 року року (10846,2 тис.грн.)</a:t>
          </a:r>
          <a:endParaRPr lang="ru-RU" sz="1400" kern="12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15622" y="1033081"/>
        <a:ext cx="5147564" cy="559396"/>
      </dsp:txXfrm>
    </dsp:sp>
    <dsp:sp modelId="{92FB4DFA-33A5-47A1-A142-B69F92122232}">
      <dsp:nvSpPr>
        <dsp:cNvPr id="0" name=""/>
        <dsp:cNvSpPr/>
      </dsp:nvSpPr>
      <dsp:spPr>
        <a:xfrm>
          <a:off x="0" y="2265340"/>
          <a:ext cx="5483860" cy="529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136F0A0-1633-41C1-B81E-21BD6F5D1141}">
      <dsp:nvSpPr>
        <dsp:cNvPr id="0" name=""/>
        <dsp:cNvSpPr/>
      </dsp:nvSpPr>
      <dsp:spPr>
        <a:xfrm>
          <a:off x="133287" y="2005382"/>
          <a:ext cx="5186815" cy="619920"/>
        </a:xfrm>
        <a:prstGeom prst="round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5094" tIns="0" rIns="145094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становить   +1041,0 тис.грн., або 110,6% </a:t>
          </a:r>
        </a:p>
      </dsp:txBody>
      <dsp:txXfrm>
        <a:off x="163549" y="2035644"/>
        <a:ext cx="5126291" cy="55939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102350" cy="495300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юридичних осіб</a:t>
          </a:r>
        </a:p>
      </dsp:txBody>
      <dsp:txXfrm>
        <a:off x="0" y="0"/>
        <a:ext cx="6102350" cy="495300"/>
      </dsp:txXfrm>
    </dsp:sp>
    <dsp:sp modelId="{AA2C7FBE-A683-447C-98C1-6693C7463562}">
      <dsp:nvSpPr>
        <dsp:cNvPr id="0" name=""/>
        <dsp:cNvSpPr/>
      </dsp:nvSpPr>
      <dsp:spPr>
        <a:xfrm>
          <a:off x="688" y="495300"/>
          <a:ext cx="2160710" cy="104013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квартал 2019року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769,6 тис.грн.</a:t>
          </a:r>
        </a:p>
      </dsp:txBody>
      <dsp:txXfrm>
        <a:off x="688" y="495300"/>
        <a:ext cx="2160710" cy="1040130"/>
      </dsp:txXfrm>
    </dsp:sp>
    <dsp:sp modelId="{92E200D2-BF6A-406B-991E-DEF1A3D6F8B7}">
      <dsp:nvSpPr>
        <dsp:cNvPr id="0" name=""/>
        <dsp:cNvSpPr/>
      </dsp:nvSpPr>
      <dsp:spPr>
        <a:xfrm>
          <a:off x="2161399" y="495300"/>
          <a:ext cx="2116708" cy="104013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квартал 2020року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902,4 тис.грн.</a:t>
          </a:r>
        </a:p>
      </dsp:txBody>
      <dsp:txXfrm>
        <a:off x="2161399" y="495300"/>
        <a:ext cx="2116708" cy="1040130"/>
      </dsp:txXfrm>
    </dsp:sp>
    <dsp:sp modelId="{EE63E7A9-C424-4EE0-87C3-09471F56FF67}">
      <dsp:nvSpPr>
        <dsp:cNvPr id="0" name=""/>
        <dsp:cNvSpPr/>
      </dsp:nvSpPr>
      <dsp:spPr>
        <a:xfrm>
          <a:off x="4278107" y="495300"/>
          <a:ext cx="1823553" cy="104013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+132,8 тис.грн. або 117,3%</a:t>
          </a:r>
        </a:p>
      </dsp:txBody>
      <dsp:txXfrm>
        <a:off x="4278107" y="495300"/>
        <a:ext cx="1823553" cy="1040130"/>
      </dsp:txXfrm>
    </dsp:sp>
    <dsp:sp modelId="{2B51B7EF-26D3-462D-9212-E7CEBAE28676}">
      <dsp:nvSpPr>
        <dsp:cNvPr id="0" name=""/>
        <dsp:cNvSpPr/>
      </dsp:nvSpPr>
      <dsp:spPr>
        <a:xfrm>
          <a:off x="0" y="1535430"/>
          <a:ext cx="6102350" cy="115570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165215" cy="472440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 з фізичних осіб</a:t>
          </a:r>
        </a:p>
      </dsp:txBody>
      <dsp:txXfrm>
        <a:off x="0" y="0"/>
        <a:ext cx="6165215" cy="472440"/>
      </dsp:txXfrm>
    </dsp:sp>
    <dsp:sp modelId="{AA2C7FBE-A683-447C-98C1-6693C7463562}">
      <dsp:nvSpPr>
        <dsp:cNvPr id="0" name=""/>
        <dsp:cNvSpPr/>
      </dsp:nvSpPr>
      <dsp:spPr>
        <a:xfrm>
          <a:off x="1010" y="472440"/>
          <a:ext cx="2107877" cy="99212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квартал 2019року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3,0 тис.грн.</a:t>
          </a:r>
        </a:p>
      </dsp:txBody>
      <dsp:txXfrm>
        <a:off x="1010" y="472440"/>
        <a:ext cx="2107877" cy="992124"/>
      </dsp:txXfrm>
    </dsp:sp>
    <dsp:sp modelId="{92E200D2-BF6A-406B-991E-DEF1A3D6F8B7}">
      <dsp:nvSpPr>
        <dsp:cNvPr id="0" name=""/>
        <dsp:cNvSpPr/>
      </dsp:nvSpPr>
      <dsp:spPr>
        <a:xfrm>
          <a:off x="2108887" y="472440"/>
          <a:ext cx="2143739" cy="99212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квартал 2020року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- 18,9 тис.грн.</a:t>
          </a:r>
        </a:p>
      </dsp:txBody>
      <dsp:txXfrm>
        <a:off x="2108887" y="472440"/>
        <a:ext cx="2143739" cy="992124"/>
      </dsp:txXfrm>
    </dsp:sp>
    <dsp:sp modelId="{EE63E7A9-C424-4EE0-87C3-09471F56FF67}">
      <dsp:nvSpPr>
        <dsp:cNvPr id="0" name=""/>
        <dsp:cNvSpPr/>
      </dsp:nvSpPr>
      <dsp:spPr>
        <a:xfrm>
          <a:off x="4252626" y="472440"/>
          <a:ext cx="1911577" cy="99212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   - 21,8тис.грн.                 </a:t>
          </a:r>
        </a:p>
      </dsp:txBody>
      <dsp:txXfrm>
        <a:off x="4252626" y="472440"/>
        <a:ext cx="1911577" cy="992124"/>
      </dsp:txXfrm>
    </dsp:sp>
    <dsp:sp modelId="{2B51B7EF-26D3-462D-9212-E7CEBAE28676}">
      <dsp:nvSpPr>
        <dsp:cNvPr id="0" name=""/>
        <dsp:cNvSpPr/>
      </dsp:nvSpPr>
      <dsp:spPr>
        <a:xfrm>
          <a:off x="0" y="1464564"/>
          <a:ext cx="6165215" cy="110236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102350" cy="386905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юридичних осіб</a:t>
          </a:r>
        </a:p>
      </dsp:txBody>
      <dsp:txXfrm>
        <a:off x="0" y="0"/>
        <a:ext cx="6102350" cy="386905"/>
      </dsp:txXfrm>
    </dsp:sp>
    <dsp:sp modelId="{AA2C7FBE-A683-447C-98C1-6693C7463562}">
      <dsp:nvSpPr>
        <dsp:cNvPr id="0" name=""/>
        <dsp:cNvSpPr/>
      </dsp:nvSpPr>
      <dsp:spPr>
        <a:xfrm>
          <a:off x="46192" y="377382"/>
          <a:ext cx="2351157" cy="81250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квартал 2019року  -2952,4 тис.грн.</a:t>
          </a:r>
        </a:p>
      </dsp:txBody>
      <dsp:txXfrm>
        <a:off x="46192" y="377382"/>
        <a:ext cx="2351157" cy="812501"/>
      </dsp:txXfrm>
    </dsp:sp>
    <dsp:sp modelId="{92E200D2-BF6A-406B-991E-DEF1A3D6F8B7}">
      <dsp:nvSpPr>
        <dsp:cNvPr id="0" name=""/>
        <dsp:cNvSpPr/>
      </dsp:nvSpPr>
      <dsp:spPr>
        <a:xfrm>
          <a:off x="2351601" y="386905"/>
          <a:ext cx="2123408" cy="81250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квартал 2020року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2842,7 тис.грн.</a:t>
          </a:r>
        </a:p>
      </dsp:txBody>
      <dsp:txXfrm>
        <a:off x="2351601" y="386905"/>
        <a:ext cx="2123408" cy="812501"/>
      </dsp:txXfrm>
    </dsp:sp>
    <dsp:sp modelId="{EE63E7A9-C424-4EE0-87C3-09471F56FF67}">
      <dsp:nvSpPr>
        <dsp:cNvPr id="0" name=""/>
        <dsp:cNvSpPr/>
      </dsp:nvSpPr>
      <dsp:spPr>
        <a:xfrm>
          <a:off x="4475010" y="386905"/>
          <a:ext cx="1626896" cy="81250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   -109,7 тис.грн. або 96,3%</a:t>
          </a:r>
        </a:p>
      </dsp:txBody>
      <dsp:txXfrm>
        <a:off x="4475010" y="386905"/>
        <a:ext cx="1626896" cy="812501"/>
      </dsp:txXfrm>
    </dsp:sp>
    <dsp:sp modelId="{2B51B7EF-26D3-462D-9212-E7CEBAE28676}">
      <dsp:nvSpPr>
        <dsp:cNvPr id="0" name=""/>
        <dsp:cNvSpPr/>
      </dsp:nvSpPr>
      <dsp:spPr>
        <a:xfrm>
          <a:off x="0" y="1199407"/>
          <a:ext cx="6102350" cy="90277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165215" cy="478155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 з фізичних осіб</a:t>
          </a:r>
        </a:p>
      </dsp:txBody>
      <dsp:txXfrm>
        <a:off x="0" y="0"/>
        <a:ext cx="6165215" cy="478155"/>
      </dsp:txXfrm>
    </dsp:sp>
    <dsp:sp modelId="{AA2C7FBE-A683-447C-98C1-6693C7463562}">
      <dsp:nvSpPr>
        <dsp:cNvPr id="0" name=""/>
        <dsp:cNvSpPr/>
      </dsp:nvSpPr>
      <dsp:spPr>
        <a:xfrm>
          <a:off x="2463" y="478155"/>
          <a:ext cx="2394934" cy="100412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квартал 2019року 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380,1 тис.грн.</a:t>
          </a:r>
        </a:p>
      </dsp:txBody>
      <dsp:txXfrm>
        <a:off x="2463" y="478155"/>
        <a:ext cx="2394934" cy="1004125"/>
      </dsp:txXfrm>
    </dsp:sp>
    <dsp:sp modelId="{92E200D2-BF6A-406B-991E-DEF1A3D6F8B7}">
      <dsp:nvSpPr>
        <dsp:cNvPr id="0" name=""/>
        <dsp:cNvSpPr/>
      </dsp:nvSpPr>
      <dsp:spPr>
        <a:xfrm>
          <a:off x="2397398" y="478155"/>
          <a:ext cx="2103635" cy="100412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І квартал 2020року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451,5 тис.грн.</a:t>
          </a:r>
        </a:p>
      </dsp:txBody>
      <dsp:txXfrm>
        <a:off x="2397398" y="478155"/>
        <a:ext cx="2103635" cy="1004125"/>
      </dsp:txXfrm>
    </dsp:sp>
    <dsp:sp modelId="{EE63E7A9-C424-4EE0-87C3-09471F56FF67}">
      <dsp:nvSpPr>
        <dsp:cNvPr id="0" name=""/>
        <dsp:cNvSpPr/>
      </dsp:nvSpPr>
      <dsp:spPr>
        <a:xfrm>
          <a:off x="4501033" y="478155"/>
          <a:ext cx="1661718" cy="100412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Темп росту        + 74,5 тис.грн.            або 118,8%</a:t>
          </a:r>
        </a:p>
      </dsp:txBody>
      <dsp:txXfrm>
        <a:off x="4501033" y="478155"/>
        <a:ext cx="1661718" cy="1004125"/>
      </dsp:txXfrm>
    </dsp:sp>
    <dsp:sp modelId="{2B51B7EF-26D3-462D-9212-E7CEBAE28676}">
      <dsp:nvSpPr>
        <dsp:cNvPr id="0" name=""/>
        <dsp:cNvSpPr/>
      </dsp:nvSpPr>
      <dsp:spPr>
        <a:xfrm>
          <a:off x="0" y="1482280"/>
          <a:ext cx="6165215" cy="111569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4F77F8-D6F7-450F-BA8F-44B3EE5E93A3}">
      <dsp:nvSpPr>
        <dsp:cNvPr id="0" name=""/>
        <dsp:cNvSpPr/>
      </dsp:nvSpPr>
      <dsp:spPr>
        <a:xfrm>
          <a:off x="1215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accent6">
                  <a:lumMod val="50000"/>
                </a:schemeClr>
              </a:solidFill>
            </a:rPr>
            <a:t>Єдиний податок з юридичних осіб</a:t>
          </a:r>
        </a:p>
      </dsp:txBody>
      <dsp:txXfrm>
        <a:off x="1215" y="0"/>
        <a:ext cx="1994243" cy="1097280"/>
      </dsp:txXfrm>
    </dsp:sp>
    <dsp:sp modelId="{B995AA39-D88B-4F5D-A2D0-044F059CE9BB}">
      <dsp:nvSpPr>
        <dsp:cNvPr id="0" name=""/>
        <dsp:cNvSpPr/>
      </dsp:nvSpPr>
      <dsp:spPr>
        <a:xfrm>
          <a:off x="1207" y="925071"/>
          <a:ext cx="1938914" cy="67683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І квартал 2019 року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139,8тис.грн.                </a:t>
          </a:r>
        </a:p>
      </dsp:txBody>
      <dsp:txXfrm>
        <a:off x="21031" y="944895"/>
        <a:ext cx="1899266" cy="637182"/>
      </dsp:txXfrm>
    </dsp:sp>
    <dsp:sp modelId="{2C596296-6704-4CC8-B9BF-52C838285E88}">
      <dsp:nvSpPr>
        <dsp:cNvPr id="0" name=""/>
        <dsp:cNvSpPr/>
      </dsp:nvSpPr>
      <dsp:spPr>
        <a:xfrm>
          <a:off x="1199" y="1752026"/>
          <a:ext cx="1908841" cy="614226"/>
        </a:xfrm>
        <a:prstGeom prst="roundRect">
          <a:avLst>
            <a:gd name="adj" fmla="val 10000"/>
          </a:avLst>
        </a:prstGeom>
        <a:solidFill>
          <a:schemeClr val="accent5">
            <a:hueOff val="-1241735"/>
            <a:satOff val="4976"/>
            <a:lumOff val="10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І квартал 2020 року  129,3 тис.грн.</a:t>
          </a:r>
        </a:p>
      </dsp:txBody>
      <dsp:txXfrm>
        <a:off x="19189" y="1770016"/>
        <a:ext cx="1872861" cy="578246"/>
      </dsp:txXfrm>
    </dsp:sp>
    <dsp:sp modelId="{22A2A73C-654B-4587-AA91-934DBD585DC4}">
      <dsp:nvSpPr>
        <dsp:cNvPr id="0" name=""/>
        <dsp:cNvSpPr/>
      </dsp:nvSpPr>
      <dsp:spPr>
        <a:xfrm>
          <a:off x="1199" y="2512844"/>
          <a:ext cx="1946748" cy="767885"/>
        </a:xfrm>
        <a:prstGeom prst="roundRect">
          <a:avLst>
            <a:gd name="adj" fmla="val 10000"/>
          </a:avLst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chemeClr val="accent6">
                  <a:lumMod val="50000"/>
                </a:schemeClr>
              </a:solidFill>
            </a:rPr>
            <a:t>Темп росту -                 -10,5 тис.грн.,            або 92,5%</a:t>
          </a:r>
        </a:p>
      </dsp:txBody>
      <dsp:txXfrm>
        <a:off x="23690" y="2535335"/>
        <a:ext cx="1901766" cy="722903"/>
      </dsp:txXfrm>
    </dsp:sp>
    <dsp:sp modelId="{E9F66DB0-F6F9-4B80-B84F-9BDE22F808C2}">
      <dsp:nvSpPr>
        <dsp:cNvPr id="0" name=""/>
        <dsp:cNvSpPr/>
      </dsp:nvSpPr>
      <dsp:spPr>
        <a:xfrm>
          <a:off x="2151360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accent6">
                  <a:lumMod val="50000"/>
                </a:schemeClr>
              </a:solidFill>
            </a:rPr>
            <a:t>Єдиний  податок з фізичних осіб</a:t>
          </a:r>
        </a:p>
      </dsp:txBody>
      <dsp:txXfrm>
        <a:off x="2151360" y="0"/>
        <a:ext cx="1994243" cy="1097280"/>
      </dsp:txXfrm>
    </dsp:sp>
    <dsp:sp modelId="{57A443D7-5825-44BD-A5ED-C6E1FF409E42}">
      <dsp:nvSpPr>
        <dsp:cNvPr id="0" name=""/>
        <dsp:cNvSpPr/>
      </dsp:nvSpPr>
      <dsp:spPr>
        <a:xfrm>
          <a:off x="2126831" y="972183"/>
          <a:ext cx="2005395" cy="662492"/>
        </a:xfrm>
        <a:prstGeom prst="roundRect">
          <a:avLst>
            <a:gd name="adj" fmla="val 10000"/>
          </a:avLst>
        </a:prstGeom>
        <a:solidFill>
          <a:schemeClr val="accent5">
            <a:hueOff val="-3725204"/>
            <a:satOff val="14929"/>
            <a:lumOff val="323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І квартал 2019 року 2210,5 тис.грн.</a:t>
          </a:r>
        </a:p>
      </dsp:txBody>
      <dsp:txXfrm>
        <a:off x="2146235" y="991587"/>
        <a:ext cx="1966587" cy="623684"/>
      </dsp:txXfrm>
    </dsp:sp>
    <dsp:sp modelId="{74A7BFD7-DE4B-4CEF-9E5B-9E14C4720914}">
      <dsp:nvSpPr>
        <dsp:cNvPr id="0" name=""/>
        <dsp:cNvSpPr/>
      </dsp:nvSpPr>
      <dsp:spPr>
        <a:xfrm>
          <a:off x="2186546" y="1797346"/>
          <a:ext cx="1923870" cy="590504"/>
        </a:xfrm>
        <a:prstGeom prst="roundRect">
          <a:avLst>
            <a:gd name="adj" fmla="val 1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І квартал 2020 року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2595,4 тис.грн. </a:t>
          </a:r>
        </a:p>
      </dsp:txBody>
      <dsp:txXfrm>
        <a:off x="2203841" y="1814641"/>
        <a:ext cx="1889280" cy="555914"/>
      </dsp:txXfrm>
    </dsp:sp>
    <dsp:sp modelId="{7E0E7086-0779-4EE4-90A2-E516F5E4B779}">
      <dsp:nvSpPr>
        <dsp:cNvPr id="0" name=""/>
        <dsp:cNvSpPr/>
      </dsp:nvSpPr>
      <dsp:spPr>
        <a:xfrm>
          <a:off x="2214976" y="2600273"/>
          <a:ext cx="1867010" cy="692382"/>
        </a:xfrm>
        <a:prstGeom prst="roundRect">
          <a:avLst>
            <a:gd name="adj" fmla="val 10000"/>
          </a:avLst>
        </a:prstGeom>
        <a:solidFill>
          <a:schemeClr val="accent5">
            <a:hueOff val="-6208672"/>
            <a:satOff val="24882"/>
            <a:lumOff val="539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chemeClr val="accent6">
                  <a:lumMod val="50000"/>
                </a:schemeClr>
              </a:solidFill>
            </a:rPr>
            <a:t>Темп росту -      +384,9 тис.грн.,   або 117,4%</a:t>
          </a:r>
        </a:p>
      </dsp:txBody>
      <dsp:txXfrm>
        <a:off x="2235255" y="2620552"/>
        <a:ext cx="1826452" cy="651824"/>
      </dsp:txXfrm>
    </dsp:sp>
    <dsp:sp modelId="{173929A1-967C-4CFB-9E9C-8B27F18FDFFF}">
      <dsp:nvSpPr>
        <dsp:cNvPr id="0" name=""/>
        <dsp:cNvSpPr/>
      </dsp:nvSpPr>
      <dsp:spPr>
        <a:xfrm>
          <a:off x="4308533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accent6">
                  <a:lumMod val="50000"/>
                </a:schemeClr>
              </a:solidFill>
            </a:rPr>
            <a:t>Єдиний податок з </a:t>
          </a:r>
          <a:r>
            <a:rPr lang="ru-RU" sz="2000" b="1" kern="1200">
              <a:solidFill>
                <a:schemeClr val="accent6">
                  <a:lumMod val="50000"/>
                </a:schemeClr>
              </a:solidFill>
            </a:rPr>
            <a:t>с/г </a:t>
          </a:r>
          <a:r>
            <a:rPr lang="ru-RU" sz="1800" b="1" kern="1200">
              <a:solidFill>
                <a:schemeClr val="accent6">
                  <a:lumMod val="50000"/>
                </a:schemeClr>
              </a:solidFill>
            </a:rPr>
            <a:t>товаровиробників</a:t>
          </a:r>
        </a:p>
      </dsp:txBody>
      <dsp:txXfrm>
        <a:off x="4308533" y="0"/>
        <a:ext cx="1994243" cy="1097280"/>
      </dsp:txXfrm>
    </dsp:sp>
    <dsp:sp modelId="{6F85DA38-8515-4187-81C6-3C6D9C0CF1ED}">
      <dsp:nvSpPr>
        <dsp:cNvPr id="0" name=""/>
        <dsp:cNvSpPr/>
      </dsp:nvSpPr>
      <dsp:spPr>
        <a:xfrm>
          <a:off x="4365802" y="957140"/>
          <a:ext cx="1946732" cy="589484"/>
        </a:xfrm>
        <a:prstGeom prst="roundRect">
          <a:avLst>
            <a:gd name="adj" fmla="val 10000"/>
          </a:avLst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І квартал 2019 року  650,7 тис.грн.</a:t>
          </a:r>
        </a:p>
      </dsp:txBody>
      <dsp:txXfrm>
        <a:off x="4383067" y="974405"/>
        <a:ext cx="1912202" cy="554954"/>
      </dsp:txXfrm>
    </dsp:sp>
    <dsp:sp modelId="{9C61B4A9-59A6-41A7-A5DA-A4F88C9B05EC}">
      <dsp:nvSpPr>
        <dsp:cNvPr id="0" name=""/>
        <dsp:cNvSpPr/>
      </dsp:nvSpPr>
      <dsp:spPr>
        <a:xfrm>
          <a:off x="4364627" y="1807521"/>
          <a:ext cx="1938914" cy="628287"/>
        </a:xfrm>
        <a:prstGeom prst="roundRect">
          <a:avLst>
            <a:gd name="adj" fmla="val 10000"/>
          </a:avLst>
        </a:prstGeom>
        <a:solidFill>
          <a:schemeClr val="accent5">
            <a:hueOff val="-8692142"/>
            <a:satOff val="34835"/>
            <a:lumOff val="754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accent6">
                  <a:lumMod val="50000"/>
                </a:schemeClr>
              </a:solidFill>
            </a:rPr>
            <a:t>І квартал 2020 року         1597,3 тис.грн. </a:t>
          </a:r>
        </a:p>
      </dsp:txBody>
      <dsp:txXfrm>
        <a:off x="4383029" y="1825923"/>
        <a:ext cx="1902110" cy="591483"/>
      </dsp:txXfrm>
    </dsp:sp>
    <dsp:sp modelId="{95088396-CEC1-45DD-804F-0F41AADB86E3}">
      <dsp:nvSpPr>
        <dsp:cNvPr id="0" name=""/>
        <dsp:cNvSpPr/>
      </dsp:nvSpPr>
      <dsp:spPr>
        <a:xfrm>
          <a:off x="4296823" y="2671195"/>
          <a:ext cx="2009814" cy="643017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chemeClr val="accent6">
                  <a:lumMod val="50000"/>
                </a:schemeClr>
              </a:solidFill>
            </a:rPr>
            <a:t>Темп росту -                  +946,6 тис.грн.,      або 245,5%</a:t>
          </a:r>
        </a:p>
      </dsp:txBody>
      <dsp:txXfrm>
        <a:off x="4315656" y="2690028"/>
        <a:ext cx="1972148" cy="6053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0.04056</cdr:x>
      <cdr:y>0.0986</cdr:y>
    </cdr:from>
    <cdr:to>
      <cdr:x>0.39314</cdr:x>
      <cdr:y>0.24444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247650" y="549412"/>
          <a:ext cx="2152676" cy="812663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400" b="1" i="0" u="none" strike="noStrike" baseline="0">
              <a:solidFill>
                <a:srgbClr val="993300"/>
              </a:solidFill>
              <a:latin typeface="Calibri"/>
              <a:cs typeface="Calibri"/>
            </a:rPr>
            <a:t>Офіційні трансферти         -234,3 тис.грн., 98,2%</a:t>
          </a:r>
        </a:p>
      </cdr:txBody>
    </cdr:sp>
  </cdr:relSizeAnchor>
  <cdr:relSizeAnchor xmlns:cdr="http://schemas.openxmlformats.org/drawingml/2006/chartDrawing">
    <cdr:from>
      <cdr:x>0.4961</cdr:x>
      <cdr:y>0.10447</cdr:y>
    </cdr:from>
    <cdr:to>
      <cdr:x>0.87052</cdr:x>
      <cdr:y>0.24274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 rot="10800000" flipH="1" flipV="1">
          <a:off x="3028950" y="582120"/>
          <a:ext cx="2286032" cy="77043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400" b="1" i="0" u="none" strike="noStrike" baseline="0">
              <a:solidFill>
                <a:srgbClr val="993300"/>
              </a:solidFill>
              <a:latin typeface="Calibri"/>
              <a:cs typeface="Calibri"/>
            </a:rPr>
            <a:t>Податки, збори та інші платежі                                    + 5429,9 тис.грн., 128,9%</a:t>
          </a:r>
          <a:endParaRPr lang="ru-RU" sz="1400" b="0" i="0" u="none" strike="noStrike" baseline="0">
            <a:solidFill>
              <a:srgbClr val="003366"/>
            </a:solidFill>
            <a:latin typeface="Calibri"/>
            <a:cs typeface="Calibri"/>
          </a:endParaRPr>
        </a:p>
        <a:p xmlns:a="http://schemas.openxmlformats.org/drawingml/2006/main">
          <a:pPr algn="l" rtl="0">
            <a:defRPr sz="1000"/>
          </a:pPr>
          <a:endParaRPr lang="ru-RU" sz="1400" b="0" i="0" u="none" strike="noStrike" baseline="0">
            <a:solidFill>
              <a:srgbClr val="003366"/>
            </a:solidFill>
            <a:latin typeface="Calibri"/>
            <a:cs typeface="Calibri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0.36875</cdr:x>
      <cdr:y>0.66511</cdr:y>
    </cdr:from>
    <cdr:to>
      <cdr:x>0.60278</cdr:x>
      <cdr:y>0.84475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72486" y="4067175"/>
          <a:ext cx="1442264" cy="10985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Воздушный поток">
    <a:majorFont>
      <a:latin typeface="Trebuchet MS"/>
      <a:ea typeface=""/>
      <a:cs typeface=""/>
      <a:font script="Jpan" typeface="HGｺﾞｼｯｸM"/>
      <a:font script="Hang" typeface="HY그래픽B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rebuchet MS"/>
      <a:ea typeface=""/>
      <a:cs typeface=""/>
      <a:font script="Jpan" typeface="HGｺﾞｼｯｸM"/>
      <a:font script="Hang" typeface="HY그래픽M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Воздушный поток">
    <a:fillStyleLst>
      <a:solidFill>
        <a:schemeClr val="phClr"/>
      </a:solidFill>
      <a:gradFill rotWithShape="1">
        <a:gsLst>
          <a:gs pos="28000">
            <a:schemeClr val="phClr">
              <a:tint val="18000"/>
              <a:satMod val="120000"/>
              <a:lumMod val="88000"/>
            </a:schemeClr>
          </a:gs>
          <a:gs pos="100000">
            <a:schemeClr val="phClr">
              <a:tint val="40000"/>
              <a:satMod val="100000"/>
              <a:lumMod val="78000"/>
            </a:schemeClr>
          </a:gs>
        </a:gsLst>
        <a:lin ang="5400000" scaled="0"/>
      </a:gradFill>
      <a:gradFill rotWithShape="1">
        <a:gsLst>
          <a:gs pos="0">
            <a:schemeClr val="phClr">
              <a:lumMod val="95000"/>
            </a:schemeClr>
          </a:gs>
          <a:gs pos="100000">
            <a:schemeClr val="phClr">
              <a:shade val="82000"/>
              <a:satMod val="125000"/>
              <a:lumMod val="74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>
            <a:shade val="75000"/>
            <a:satMod val="125000"/>
            <a:lumMod val="7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50800" dir="5400000" sx="98000" sy="98000" rotWithShape="0">
            <a:srgbClr val="000000">
              <a:alpha val="20000"/>
            </a:srgbClr>
          </a:outerShdw>
        </a:effectLst>
      </a:effectStyle>
      <a:effectStyle>
        <a:effectLst>
          <a:outerShdw blurRad="40005" dist="22984" dir="5400000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balanced" dir="tr"/>
        </a:scene3d>
        <a:sp3d prstMaterial="matte">
          <a:bevelT w="19050" h="38100"/>
        </a:sp3d>
      </a:effectStyle>
      <a:effectStyle>
        <a:effectLst>
          <a:reflection blurRad="38100" stA="26000" endPos="23000" dist="25400" dir="5400000" sy="-100000" rotWithShape="0"/>
        </a:effectLst>
        <a:scene3d>
          <a:camera prst="orthographicFront">
            <a:rot lat="0" lon="0" rev="0"/>
          </a:camera>
          <a:lightRig rig="balanced" dir="tr"/>
        </a:scene3d>
        <a:sp3d contourW="14605" prstMaterial="plastic">
          <a:bevelT w="50800"/>
          <a:contourClr>
            <a:schemeClr val="phClr">
              <a:shade val="30000"/>
              <a:satMod val="12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8000"/>
              <a:shade val="90000"/>
              <a:satMod val="160000"/>
              <a:lumMod val="100000"/>
            </a:schemeClr>
          </a:gs>
          <a:gs pos="60000">
            <a:schemeClr val="phClr">
              <a:tint val="95000"/>
              <a:shade val="100000"/>
              <a:satMod val="130000"/>
              <a:lumMod val="130000"/>
            </a:schemeClr>
          </a:gs>
          <a:gs pos="100000">
            <a:schemeClr val="phClr">
              <a:tint val="97000"/>
              <a:shade val="100000"/>
              <a:hueMod val="100000"/>
              <a:satMod val="140000"/>
              <a:lumMod val="80000"/>
            </a:schemeClr>
          </a:gs>
        </a:gsLst>
        <a:path path="circle">
          <a:fillToRect l="20000" t="10000" r="20000" b="60000"/>
        </a:path>
      </a:gradFill>
      <a:gradFill rotWithShape="1">
        <a:gsLst>
          <a:gs pos="0">
            <a:schemeClr val="phClr">
              <a:tint val="94000"/>
              <a:satMod val="160000"/>
              <a:lumMod val="160000"/>
            </a:schemeClr>
          </a:gs>
          <a:gs pos="42000">
            <a:schemeClr val="phClr">
              <a:tint val="94000"/>
              <a:shade val="94000"/>
              <a:satMod val="160000"/>
              <a:lumMod val="130000"/>
            </a:schemeClr>
          </a:gs>
          <a:gs pos="100000">
            <a:schemeClr val="phClr">
              <a:tint val="97000"/>
              <a:shade val="94000"/>
              <a:satMod val="180000"/>
              <a:lumMod val="84000"/>
            </a:schemeClr>
          </a:gs>
        </a:gsLst>
        <a:path path="circle">
          <a:fillToRect l="24000" t="44000" r="24000" b="12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12</Pages>
  <Words>9731</Words>
  <Characters>5547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123</cp:revision>
  <cp:lastPrinted>2019-10-30T11:35:00Z</cp:lastPrinted>
  <dcterms:created xsi:type="dcterms:W3CDTF">2020-04-15T05:05:00Z</dcterms:created>
  <dcterms:modified xsi:type="dcterms:W3CDTF">2020-04-21T11:37:00Z</dcterms:modified>
</cp:coreProperties>
</file>