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D3" w:rsidRDefault="0018038B">
      <w:pPr>
        <w:rPr>
          <w:lang w:val="en-US"/>
        </w:rPr>
      </w:pPr>
      <w:r>
        <w:rPr>
          <w:noProof/>
          <w:lang w:eastAsia="ru-RU"/>
        </w:rPr>
        <w:drawing>
          <wp:inline distT="0" distB="0" distL="0" distR="0">
            <wp:extent cx="60102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0275" cy="838200"/>
                    </a:xfrm>
                    <a:prstGeom prst="rect">
                      <a:avLst/>
                    </a:prstGeom>
                    <a:noFill/>
                    <a:ln>
                      <a:noFill/>
                    </a:ln>
                  </pic:spPr>
                </pic:pic>
              </a:graphicData>
            </a:graphic>
          </wp:inline>
        </w:drawing>
      </w:r>
    </w:p>
    <w:p w:rsidR="002E4DD3" w:rsidRPr="00294458" w:rsidRDefault="00467132" w:rsidP="00294458">
      <w:pPr>
        <w:keepNext/>
        <w:spacing w:after="0" w:line="240" w:lineRule="auto"/>
        <w:jc w:val="center"/>
        <w:outlineLvl w:val="6"/>
        <w:rPr>
          <w:rFonts w:ascii="Times New Roman" w:hAnsi="Times New Roman"/>
          <w:b/>
          <w:bCs/>
          <w:sz w:val="24"/>
          <w:szCs w:val="24"/>
          <w:lang w:val="uk-UA" w:eastAsia="ru-RU"/>
        </w:rPr>
      </w:pPr>
      <w:r>
        <w:rPr>
          <w:rFonts w:ascii="Times New Roman" w:hAnsi="Times New Roman"/>
          <w:b/>
          <w:bCs/>
          <w:sz w:val="24"/>
          <w:szCs w:val="24"/>
          <w:lang w:val="uk-UA" w:eastAsia="ru-RU"/>
        </w:rPr>
        <w:t>ШІС</w:t>
      </w:r>
      <w:r w:rsidR="00414DB4" w:rsidRPr="00414DB4">
        <w:rPr>
          <w:rFonts w:ascii="Times New Roman" w:hAnsi="Times New Roman"/>
          <w:b/>
          <w:bCs/>
          <w:sz w:val="24"/>
          <w:szCs w:val="24"/>
          <w:lang w:val="uk-UA" w:eastAsia="ru-RU"/>
        </w:rPr>
        <w:t xml:space="preserve">ТНАДЦЯТА </w:t>
      </w:r>
      <w:r w:rsidR="002E4DD3" w:rsidRPr="00294458">
        <w:rPr>
          <w:rFonts w:ascii="Times New Roman" w:hAnsi="Times New Roman"/>
          <w:b/>
          <w:bCs/>
          <w:sz w:val="24"/>
          <w:szCs w:val="24"/>
          <w:lang w:val="uk-UA" w:eastAsia="ru-RU"/>
        </w:rPr>
        <w:t>СЕСІЯ  МІСЬКОЇ  РАДИ</w:t>
      </w:r>
    </w:p>
    <w:p w:rsidR="002E4DD3" w:rsidRPr="00294458" w:rsidRDefault="002E4DD3" w:rsidP="00294458">
      <w:pPr>
        <w:keepNext/>
        <w:spacing w:after="0" w:line="240" w:lineRule="auto"/>
        <w:jc w:val="center"/>
        <w:outlineLvl w:val="3"/>
        <w:rPr>
          <w:rFonts w:ascii="Times New Roman" w:hAnsi="Times New Roman"/>
          <w:b/>
          <w:bCs/>
          <w:sz w:val="24"/>
          <w:szCs w:val="20"/>
          <w:lang w:val="uk-UA" w:eastAsia="ru-RU"/>
        </w:rPr>
      </w:pPr>
      <w:r w:rsidRPr="00294458">
        <w:rPr>
          <w:rFonts w:ascii="Times New Roman" w:hAnsi="Times New Roman"/>
          <w:b/>
          <w:bCs/>
          <w:sz w:val="24"/>
          <w:szCs w:val="20"/>
          <w:lang w:val="uk-UA" w:eastAsia="ru-RU"/>
        </w:rPr>
        <w:t>ВОСЬМОГО  СКЛИКАННЯ</w:t>
      </w:r>
    </w:p>
    <w:p w:rsidR="002E4DD3" w:rsidRPr="00294458" w:rsidRDefault="002E4DD3" w:rsidP="00294458">
      <w:pPr>
        <w:keepNext/>
        <w:spacing w:after="0" w:line="240" w:lineRule="auto"/>
        <w:jc w:val="center"/>
        <w:outlineLvl w:val="3"/>
        <w:rPr>
          <w:rFonts w:ascii="Times New Roman" w:hAnsi="Times New Roman"/>
          <w:b/>
          <w:bCs/>
          <w:sz w:val="28"/>
          <w:szCs w:val="20"/>
          <w:lang w:val="uk-UA" w:eastAsia="ru-RU"/>
        </w:rPr>
      </w:pPr>
    </w:p>
    <w:p w:rsidR="002E4DD3" w:rsidRPr="002C0276" w:rsidRDefault="002E4DD3" w:rsidP="00294458">
      <w:pPr>
        <w:keepNext/>
        <w:spacing w:after="0" w:line="240" w:lineRule="auto"/>
        <w:jc w:val="center"/>
        <w:outlineLvl w:val="0"/>
        <w:rPr>
          <w:rFonts w:ascii="Times New Roman" w:hAnsi="Times New Roman"/>
          <w:b/>
          <w:sz w:val="28"/>
          <w:szCs w:val="28"/>
          <w:lang w:val="uk-UA" w:eastAsia="ru-RU"/>
        </w:rPr>
      </w:pPr>
      <w:r>
        <w:rPr>
          <w:rFonts w:ascii="Times New Roman" w:hAnsi="Times New Roman"/>
          <w:b/>
          <w:sz w:val="28"/>
          <w:szCs w:val="28"/>
          <w:lang w:val="uk-UA" w:eastAsia="ru-RU"/>
        </w:rPr>
        <w:t xml:space="preserve">ПРОЕКТ </w:t>
      </w:r>
      <w:r w:rsidRPr="002C0276">
        <w:rPr>
          <w:rFonts w:ascii="Times New Roman" w:hAnsi="Times New Roman"/>
          <w:b/>
          <w:sz w:val="28"/>
          <w:szCs w:val="28"/>
          <w:lang w:val="uk-UA" w:eastAsia="ru-RU"/>
        </w:rPr>
        <w:t>РІШЕННЯ</w:t>
      </w:r>
    </w:p>
    <w:p w:rsidR="002E4DD3" w:rsidRPr="002C0276" w:rsidRDefault="00781A92" w:rsidP="00294458">
      <w:pPr>
        <w:keepNext/>
        <w:spacing w:after="0" w:line="240" w:lineRule="auto"/>
        <w:jc w:val="both"/>
        <w:outlineLvl w:val="1"/>
        <w:rPr>
          <w:rFonts w:ascii="Times New Roman" w:hAnsi="Times New Roman"/>
          <w:sz w:val="28"/>
          <w:szCs w:val="28"/>
          <w:lang w:val="uk-UA" w:eastAsia="ru-RU"/>
        </w:rPr>
      </w:pPr>
      <w:r>
        <w:rPr>
          <w:rFonts w:ascii="Times New Roman" w:hAnsi="Times New Roman"/>
          <w:sz w:val="28"/>
          <w:szCs w:val="28"/>
          <w:lang w:val="uk-UA" w:eastAsia="ru-RU"/>
        </w:rPr>
        <w:t xml:space="preserve">від </w:t>
      </w:r>
      <w:r w:rsidR="00414DB4">
        <w:rPr>
          <w:rFonts w:ascii="Times New Roman" w:hAnsi="Times New Roman"/>
          <w:sz w:val="28"/>
          <w:szCs w:val="28"/>
          <w:lang w:val="uk-UA" w:eastAsia="ru-RU"/>
        </w:rPr>
        <w:t>07</w:t>
      </w:r>
      <w:r w:rsidR="0067445B">
        <w:rPr>
          <w:rFonts w:ascii="Times New Roman" w:hAnsi="Times New Roman"/>
          <w:sz w:val="28"/>
          <w:szCs w:val="28"/>
          <w:lang w:val="uk-UA" w:eastAsia="ru-RU"/>
        </w:rPr>
        <w:t xml:space="preserve"> верес</w:t>
      </w:r>
      <w:r w:rsidR="00414DB4">
        <w:rPr>
          <w:rFonts w:ascii="Times New Roman" w:hAnsi="Times New Roman"/>
          <w:sz w:val="28"/>
          <w:szCs w:val="28"/>
          <w:lang w:val="uk-UA" w:eastAsia="ru-RU"/>
        </w:rPr>
        <w:t>ня 2021</w:t>
      </w:r>
      <w:r w:rsidR="002E4DD3" w:rsidRPr="0002476D">
        <w:rPr>
          <w:rFonts w:ascii="Times New Roman" w:hAnsi="Times New Roman"/>
          <w:sz w:val="28"/>
          <w:szCs w:val="28"/>
          <w:lang w:val="uk-UA" w:eastAsia="ru-RU"/>
        </w:rPr>
        <w:t xml:space="preserve"> року</w:t>
      </w:r>
      <w:r w:rsidR="002E4DD3" w:rsidRPr="002C0276">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r w:rsidR="00E27363">
        <w:rPr>
          <w:rFonts w:ascii="Times New Roman" w:hAnsi="Times New Roman"/>
          <w:sz w:val="28"/>
          <w:szCs w:val="28"/>
          <w:lang w:val="uk-UA" w:eastAsia="ru-RU"/>
        </w:rPr>
        <w:t>440</w:t>
      </w:r>
      <w:bookmarkStart w:id="0" w:name="_GoBack"/>
      <w:bookmarkEnd w:id="0"/>
    </w:p>
    <w:p w:rsidR="002E4DD3" w:rsidRDefault="002E4DD3" w:rsidP="00FA6928">
      <w:pPr>
        <w:spacing w:after="0" w:line="240" w:lineRule="auto"/>
        <w:jc w:val="center"/>
        <w:rPr>
          <w:rFonts w:ascii="Times New Roman" w:hAnsi="Times New Roman"/>
          <w:sz w:val="28"/>
          <w:szCs w:val="28"/>
          <w:lang w:val="uk-UA" w:eastAsia="uk-UA"/>
        </w:rPr>
      </w:pPr>
      <w:r w:rsidRPr="002161D5">
        <w:rPr>
          <w:rFonts w:ascii="Times New Roman" w:hAnsi="Times New Roman"/>
          <w:sz w:val="28"/>
          <w:szCs w:val="28"/>
          <w:lang w:val="uk-UA" w:eastAsia="uk-UA"/>
        </w:rPr>
        <w:t>м. Новоукраїнка</w:t>
      </w:r>
    </w:p>
    <w:p w:rsidR="002E4DD3" w:rsidRDefault="002E4DD3" w:rsidP="00FA6928">
      <w:pPr>
        <w:spacing w:after="0" w:line="240" w:lineRule="auto"/>
        <w:jc w:val="center"/>
        <w:rPr>
          <w:rFonts w:ascii="Times New Roman" w:hAnsi="Times New Roman"/>
          <w:sz w:val="28"/>
          <w:szCs w:val="28"/>
          <w:lang w:val="uk-UA" w:eastAsia="uk-UA"/>
        </w:rPr>
      </w:pPr>
    </w:p>
    <w:tbl>
      <w:tblPr>
        <w:tblW w:w="0" w:type="auto"/>
        <w:jc w:val="center"/>
        <w:tblCellSpacing w:w="18" w:type="dxa"/>
        <w:tblCellMar>
          <w:top w:w="48" w:type="dxa"/>
          <w:left w:w="48" w:type="dxa"/>
          <w:bottom w:w="48" w:type="dxa"/>
          <w:right w:w="48" w:type="dxa"/>
        </w:tblCellMar>
        <w:tblLook w:val="00A0" w:firstRow="1" w:lastRow="0" w:firstColumn="1" w:lastColumn="0" w:noHBand="0" w:noVBand="0"/>
      </w:tblPr>
      <w:tblGrid>
        <w:gridCol w:w="9806"/>
      </w:tblGrid>
      <w:tr w:rsidR="002E4DD3" w:rsidRPr="00467132" w:rsidTr="00DE1946">
        <w:trPr>
          <w:tblCellSpacing w:w="18" w:type="dxa"/>
          <w:jc w:val="center"/>
        </w:trPr>
        <w:tc>
          <w:tcPr>
            <w:tcW w:w="0" w:type="auto"/>
          </w:tcPr>
          <w:p w:rsidR="0018038B" w:rsidRDefault="002E4DD3" w:rsidP="00056EBF">
            <w:pPr>
              <w:spacing w:after="0" w:line="240" w:lineRule="auto"/>
              <w:rPr>
                <w:rFonts w:ascii="Times New Roman" w:hAnsi="Times New Roman"/>
                <w:bCs/>
                <w:sz w:val="28"/>
                <w:szCs w:val="28"/>
                <w:lang w:val="uk-UA" w:eastAsia="uk-UA"/>
              </w:rPr>
            </w:pPr>
            <w:r w:rsidRPr="008A5917">
              <w:rPr>
                <w:rFonts w:ascii="Times New Roman" w:hAnsi="Times New Roman"/>
                <w:bCs/>
                <w:sz w:val="28"/>
                <w:szCs w:val="28"/>
                <w:lang w:val="uk-UA" w:eastAsia="uk-UA"/>
              </w:rPr>
              <w:t xml:space="preserve">Про </w:t>
            </w:r>
            <w:r w:rsidR="0018038B">
              <w:rPr>
                <w:rFonts w:ascii="Times New Roman" w:hAnsi="Times New Roman"/>
                <w:bCs/>
                <w:sz w:val="28"/>
                <w:szCs w:val="28"/>
                <w:lang w:val="uk-UA" w:eastAsia="uk-UA"/>
              </w:rPr>
              <w:t xml:space="preserve">прогноз </w:t>
            </w:r>
            <w:r w:rsidRPr="008A5917">
              <w:rPr>
                <w:rFonts w:ascii="Times New Roman" w:hAnsi="Times New Roman"/>
                <w:bCs/>
                <w:sz w:val="28"/>
                <w:szCs w:val="28"/>
                <w:lang w:val="uk-UA" w:eastAsia="uk-UA"/>
              </w:rPr>
              <w:t>бюджет</w:t>
            </w:r>
            <w:r w:rsidR="0018038B">
              <w:rPr>
                <w:rFonts w:ascii="Times New Roman" w:hAnsi="Times New Roman"/>
                <w:bCs/>
                <w:sz w:val="28"/>
                <w:szCs w:val="28"/>
                <w:lang w:val="uk-UA" w:eastAsia="uk-UA"/>
              </w:rPr>
              <w:t xml:space="preserve">у </w:t>
            </w:r>
          </w:p>
          <w:p w:rsidR="002E4DD3" w:rsidRPr="008A5917" w:rsidRDefault="002E4DD3" w:rsidP="00056EBF">
            <w:pPr>
              <w:spacing w:after="0" w:line="240" w:lineRule="auto"/>
              <w:rPr>
                <w:rFonts w:ascii="Times New Roman" w:hAnsi="Times New Roman"/>
                <w:bCs/>
                <w:sz w:val="28"/>
                <w:szCs w:val="28"/>
                <w:lang w:val="uk-UA" w:eastAsia="uk-UA"/>
              </w:rPr>
            </w:pPr>
            <w:r w:rsidRPr="008A5917">
              <w:rPr>
                <w:rFonts w:ascii="Times New Roman" w:hAnsi="Times New Roman"/>
                <w:bCs/>
                <w:sz w:val="28"/>
                <w:szCs w:val="28"/>
                <w:lang w:val="uk-UA" w:eastAsia="uk-UA"/>
              </w:rPr>
              <w:t>Новоукраїнської міської</w:t>
            </w:r>
          </w:p>
          <w:p w:rsidR="002E4DD3" w:rsidRPr="008A5917" w:rsidRDefault="002E4DD3" w:rsidP="00056EBF">
            <w:pPr>
              <w:spacing w:after="0" w:line="240" w:lineRule="auto"/>
              <w:rPr>
                <w:rFonts w:ascii="Times New Roman" w:hAnsi="Times New Roman"/>
                <w:bCs/>
                <w:sz w:val="28"/>
                <w:szCs w:val="28"/>
                <w:lang w:val="uk-UA" w:eastAsia="uk-UA"/>
              </w:rPr>
            </w:pPr>
            <w:r w:rsidRPr="008A5917">
              <w:rPr>
                <w:rFonts w:ascii="Times New Roman" w:hAnsi="Times New Roman"/>
                <w:bCs/>
                <w:sz w:val="28"/>
                <w:szCs w:val="28"/>
                <w:lang w:val="uk-UA" w:eastAsia="uk-UA"/>
              </w:rPr>
              <w:t>територіальної громади</w:t>
            </w:r>
          </w:p>
          <w:p w:rsidR="002E4DD3" w:rsidRPr="008A5917" w:rsidRDefault="002E4DD3" w:rsidP="00056EBF">
            <w:pPr>
              <w:spacing w:after="0" w:line="240" w:lineRule="auto"/>
              <w:rPr>
                <w:rFonts w:ascii="Times New Roman" w:hAnsi="Times New Roman"/>
                <w:sz w:val="28"/>
                <w:szCs w:val="28"/>
                <w:lang w:val="uk-UA" w:eastAsia="uk-UA"/>
              </w:rPr>
            </w:pPr>
            <w:r w:rsidRPr="008A5917">
              <w:rPr>
                <w:rFonts w:ascii="Times New Roman" w:hAnsi="Times New Roman"/>
                <w:bCs/>
                <w:sz w:val="28"/>
                <w:szCs w:val="28"/>
                <w:lang w:val="uk-UA" w:eastAsia="uk-UA"/>
              </w:rPr>
              <w:t>на</w:t>
            </w:r>
            <w:r w:rsidR="00414DB4">
              <w:rPr>
                <w:rFonts w:ascii="Times New Roman" w:hAnsi="Times New Roman"/>
                <w:sz w:val="28"/>
                <w:szCs w:val="28"/>
                <w:lang w:val="uk-UA" w:eastAsia="uk-UA"/>
              </w:rPr>
              <w:t xml:space="preserve"> 2022-2024</w:t>
            </w:r>
            <w:r w:rsidRPr="008A5917">
              <w:rPr>
                <w:rFonts w:ascii="Times New Roman" w:hAnsi="Times New Roman"/>
                <w:sz w:val="28"/>
                <w:szCs w:val="28"/>
                <w:lang w:val="uk-UA" w:eastAsia="uk-UA"/>
              </w:rPr>
              <w:t xml:space="preserve"> </w:t>
            </w:r>
            <w:r w:rsidRPr="008A5917">
              <w:rPr>
                <w:rFonts w:ascii="Times New Roman" w:hAnsi="Times New Roman"/>
                <w:bCs/>
                <w:sz w:val="28"/>
                <w:szCs w:val="28"/>
                <w:lang w:val="uk-UA" w:eastAsia="uk-UA"/>
              </w:rPr>
              <w:t>р</w:t>
            </w:r>
            <w:r w:rsidR="0018038B">
              <w:rPr>
                <w:rFonts w:ascii="Times New Roman" w:hAnsi="Times New Roman"/>
                <w:bCs/>
                <w:sz w:val="28"/>
                <w:szCs w:val="28"/>
                <w:lang w:val="uk-UA" w:eastAsia="uk-UA"/>
              </w:rPr>
              <w:t>о</w:t>
            </w:r>
            <w:r w:rsidRPr="008A5917">
              <w:rPr>
                <w:rFonts w:ascii="Times New Roman" w:hAnsi="Times New Roman"/>
                <w:bCs/>
                <w:sz w:val="28"/>
                <w:szCs w:val="28"/>
                <w:lang w:val="uk-UA" w:eastAsia="uk-UA"/>
              </w:rPr>
              <w:t>к</w:t>
            </w:r>
            <w:r w:rsidR="0018038B">
              <w:rPr>
                <w:rFonts w:ascii="Times New Roman" w:hAnsi="Times New Roman"/>
                <w:bCs/>
                <w:sz w:val="28"/>
                <w:szCs w:val="28"/>
                <w:lang w:val="uk-UA" w:eastAsia="uk-UA"/>
              </w:rPr>
              <w:t>и</w:t>
            </w:r>
            <w:r w:rsidRPr="008A5917">
              <w:rPr>
                <w:rFonts w:ascii="Times New Roman" w:hAnsi="Times New Roman"/>
                <w:sz w:val="28"/>
                <w:szCs w:val="28"/>
                <w:lang w:val="uk-UA" w:eastAsia="uk-UA"/>
              </w:rPr>
              <w:br/>
            </w:r>
          </w:p>
          <w:p w:rsidR="002E4DD3" w:rsidRPr="008A5917" w:rsidRDefault="002E4DD3" w:rsidP="00117216">
            <w:pPr>
              <w:spacing w:after="0" w:line="240" w:lineRule="auto"/>
              <w:ind w:firstLine="567"/>
              <w:jc w:val="both"/>
              <w:rPr>
                <w:rFonts w:ascii="Times New Roman" w:hAnsi="Times New Roman"/>
                <w:sz w:val="28"/>
                <w:szCs w:val="28"/>
                <w:lang w:val="uk-UA" w:eastAsia="ru-RU"/>
              </w:rPr>
            </w:pPr>
            <w:r w:rsidRPr="008A5917">
              <w:rPr>
                <w:rFonts w:ascii="Times New Roman" w:hAnsi="Times New Roman"/>
                <w:sz w:val="28"/>
                <w:szCs w:val="28"/>
                <w:lang w:val="uk-UA" w:eastAsia="ru-RU"/>
              </w:rPr>
              <w:t>На підставі статті 42 Закону України "Про місцеве само</w:t>
            </w:r>
            <w:r w:rsidR="00467132">
              <w:rPr>
                <w:rFonts w:ascii="Times New Roman" w:hAnsi="Times New Roman"/>
                <w:sz w:val="28"/>
                <w:szCs w:val="28"/>
                <w:lang w:val="uk-UA" w:eastAsia="ru-RU"/>
              </w:rPr>
              <w:t>врядування в Україні", статті 75</w:t>
            </w:r>
            <w:r w:rsidR="00467132">
              <w:rPr>
                <w:rFonts w:ascii="Times New Roman" w:hAnsi="Times New Roman"/>
                <w:sz w:val="28"/>
                <w:szCs w:val="28"/>
                <w:vertAlign w:val="superscript"/>
                <w:lang w:val="uk-UA" w:eastAsia="ru-RU"/>
              </w:rPr>
              <w:t>1</w:t>
            </w:r>
            <w:r w:rsidRPr="008A5917">
              <w:rPr>
                <w:rFonts w:ascii="Times New Roman" w:hAnsi="Times New Roman"/>
                <w:sz w:val="28"/>
                <w:szCs w:val="28"/>
                <w:lang w:val="uk-UA" w:eastAsia="ru-RU"/>
              </w:rPr>
              <w:t xml:space="preserve"> Бюджетного кодексу України, </w:t>
            </w:r>
            <w:r w:rsidR="00414DB4" w:rsidRPr="00414DB4">
              <w:rPr>
                <w:rFonts w:ascii="Times New Roman" w:hAnsi="Times New Roman"/>
                <w:sz w:val="28"/>
                <w:szCs w:val="28"/>
                <w:lang w:val="uk-UA" w:eastAsia="ru-RU"/>
              </w:rPr>
              <w:t>на виконання Плану заходів із складання прогнозу бюджету Новоукраїнської міської територіальної громади на 2022-2024 роки  від 18 травня 2021 року № 272,</w:t>
            </w:r>
          </w:p>
          <w:p w:rsidR="002E4DD3" w:rsidRPr="008A5917" w:rsidRDefault="002E4DD3" w:rsidP="00056EBF">
            <w:pPr>
              <w:keepNext/>
              <w:spacing w:after="0" w:line="240" w:lineRule="auto"/>
              <w:jc w:val="center"/>
              <w:outlineLvl w:val="3"/>
              <w:rPr>
                <w:rFonts w:ascii="Times New Roman" w:hAnsi="Times New Roman"/>
                <w:bCs/>
                <w:sz w:val="28"/>
                <w:szCs w:val="28"/>
                <w:lang w:val="uk-UA"/>
              </w:rPr>
            </w:pPr>
            <w:r w:rsidRPr="008A5917">
              <w:rPr>
                <w:rFonts w:ascii="Times New Roman" w:hAnsi="Times New Roman"/>
                <w:bCs/>
                <w:sz w:val="28"/>
                <w:szCs w:val="28"/>
                <w:lang w:val="uk-UA"/>
              </w:rPr>
              <w:t>міська рада</w:t>
            </w:r>
          </w:p>
          <w:p w:rsidR="002E4DD3" w:rsidRPr="008A5917" w:rsidRDefault="002E4DD3" w:rsidP="00056EBF">
            <w:pPr>
              <w:keepNext/>
              <w:spacing w:after="0" w:line="240" w:lineRule="auto"/>
              <w:jc w:val="center"/>
              <w:outlineLvl w:val="3"/>
              <w:rPr>
                <w:rFonts w:ascii="Times New Roman" w:hAnsi="Times New Roman"/>
                <w:sz w:val="28"/>
                <w:szCs w:val="28"/>
                <w:lang w:val="uk-UA"/>
              </w:rPr>
            </w:pPr>
          </w:p>
          <w:p w:rsidR="002E4DD3" w:rsidRPr="008A5917" w:rsidRDefault="002E4DD3" w:rsidP="00056EBF">
            <w:pPr>
              <w:spacing w:after="0" w:line="240" w:lineRule="auto"/>
              <w:jc w:val="center"/>
              <w:rPr>
                <w:rFonts w:ascii="Times New Roman" w:hAnsi="Times New Roman"/>
                <w:sz w:val="28"/>
                <w:szCs w:val="24"/>
                <w:lang w:val="uk-UA" w:eastAsia="ru-RU"/>
              </w:rPr>
            </w:pPr>
            <w:r w:rsidRPr="008A5917">
              <w:rPr>
                <w:rFonts w:ascii="Times New Roman" w:hAnsi="Times New Roman"/>
                <w:sz w:val="28"/>
                <w:szCs w:val="24"/>
                <w:lang w:val="uk-UA" w:eastAsia="ru-RU"/>
              </w:rPr>
              <w:t>ВИРІШИЛА:</w:t>
            </w:r>
          </w:p>
          <w:p w:rsidR="0018038B" w:rsidRPr="0018038B" w:rsidRDefault="00467132" w:rsidP="00EA5ED2">
            <w:pPr>
              <w:spacing w:before="100" w:beforeAutospacing="1" w:after="100" w:afterAutospacing="1"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П</w:t>
            </w:r>
            <w:r w:rsidR="0018038B" w:rsidRPr="0018038B">
              <w:rPr>
                <w:rFonts w:ascii="Times New Roman" w:hAnsi="Times New Roman"/>
                <w:sz w:val="28"/>
                <w:szCs w:val="28"/>
                <w:lang w:val="uk-UA" w:eastAsia="uk-UA"/>
              </w:rPr>
              <w:t xml:space="preserve">рогноз </w:t>
            </w:r>
            <w:r w:rsidR="0018038B" w:rsidRPr="008A5917">
              <w:rPr>
                <w:rFonts w:ascii="Times New Roman" w:hAnsi="Times New Roman"/>
                <w:sz w:val="28"/>
                <w:szCs w:val="28"/>
                <w:lang w:val="uk-UA" w:eastAsia="ru-RU"/>
              </w:rPr>
              <w:t>бюджет</w:t>
            </w:r>
            <w:r w:rsidR="0018038B">
              <w:rPr>
                <w:rFonts w:ascii="Times New Roman" w:hAnsi="Times New Roman"/>
                <w:sz w:val="28"/>
                <w:szCs w:val="28"/>
                <w:lang w:val="uk-UA" w:eastAsia="ru-RU"/>
              </w:rPr>
              <w:t>у</w:t>
            </w:r>
            <w:r w:rsidR="0018038B" w:rsidRPr="008A5917">
              <w:rPr>
                <w:rFonts w:ascii="Times New Roman" w:hAnsi="Times New Roman"/>
                <w:sz w:val="28"/>
                <w:szCs w:val="28"/>
                <w:lang w:val="uk-UA" w:eastAsia="ru-RU"/>
              </w:rPr>
              <w:t xml:space="preserve"> Новоукраїнської міської </w:t>
            </w:r>
            <w:r w:rsidR="0018038B">
              <w:rPr>
                <w:rFonts w:ascii="Times New Roman" w:hAnsi="Times New Roman"/>
                <w:sz w:val="28"/>
                <w:szCs w:val="28"/>
                <w:lang w:val="uk-UA" w:eastAsia="ru-RU"/>
              </w:rPr>
              <w:t xml:space="preserve"> територіальної громади </w:t>
            </w:r>
            <w:r w:rsidR="0018038B">
              <w:rPr>
                <w:rFonts w:ascii="Times New Roman" w:hAnsi="Times New Roman"/>
                <w:sz w:val="28"/>
                <w:szCs w:val="28"/>
                <w:lang w:val="uk-UA" w:eastAsia="uk-UA"/>
              </w:rPr>
              <w:t xml:space="preserve">на </w:t>
            </w:r>
            <w:r w:rsidR="00414DB4">
              <w:rPr>
                <w:rFonts w:ascii="Times New Roman" w:hAnsi="Times New Roman"/>
                <w:sz w:val="28"/>
                <w:szCs w:val="28"/>
                <w:lang w:val="uk-UA" w:eastAsia="uk-UA"/>
              </w:rPr>
              <w:t>2022-2024</w:t>
            </w:r>
            <w:r w:rsidR="0018038B" w:rsidRPr="0018038B">
              <w:rPr>
                <w:rFonts w:ascii="Times New Roman" w:hAnsi="Times New Roman"/>
                <w:sz w:val="28"/>
                <w:szCs w:val="28"/>
                <w:lang w:val="uk-UA" w:eastAsia="uk-UA"/>
              </w:rPr>
              <w:t xml:space="preserve"> роки</w:t>
            </w:r>
            <w:r w:rsidR="00F26E17">
              <w:rPr>
                <w:rFonts w:ascii="Times New Roman" w:hAnsi="Times New Roman"/>
                <w:sz w:val="28"/>
                <w:szCs w:val="28"/>
                <w:lang w:val="uk-UA" w:eastAsia="uk-UA"/>
              </w:rPr>
              <w:t xml:space="preserve"> взяти до відома (</w:t>
            </w:r>
            <w:r w:rsidR="0018038B" w:rsidRPr="0018038B">
              <w:rPr>
                <w:rFonts w:ascii="Times New Roman" w:hAnsi="Times New Roman"/>
                <w:sz w:val="28"/>
                <w:szCs w:val="28"/>
                <w:lang w:val="uk-UA" w:eastAsia="uk-UA"/>
              </w:rPr>
              <w:t>додається</w:t>
            </w:r>
            <w:r w:rsidR="00F26E17">
              <w:rPr>
                <w:rFonts w:ascii="Times New Roman" w:hAnsi="Times New Roman"/>
                <w:sz w:val="28"/>
                <w:szCs w:val="28"/>
                <w:lang w:val="uk-UA" w:eastAsia="uk-UA"/>
              </w:rPr>
              <w:t>)</w:t>
            </w:r>
            <w:r w:rsidR="0018038B" w:rsidRPr="0018038B">
              <w:rPr>
                <w:rFonts w:ascii="Times New Roman" w:hAnsi="Times New Roman"/>
                <w:sz w:val="28"/>
                <w:szCs w:val="28"/>
                <w:lang w:val="uk-UA" w:eastAsia="uk-UA"/>
              </w:rPr>
              <w:t>.</w:t>
            </w:r>
          </w:p>
          <w:p w:rsidR="002E4DD3" w:rsidRPr="008A5917" w:rsidRDefault="00EA5ED2" w:rsidP="00467132">
            <w:pPr>
              <w:tabs>
                <w:tab w:val="left" w:pos="9498"/>
              </w:tabs>
              <w:spacing w:after="0" w:line="240" w:lineRule="auto"/>
              <w:ind w:right="-30" w:firstLine="567"/>
              <w:jc w:val="both"/>
              <w:rPr>
                <w:rFonts w:ascii="Times New Roman" w:hAnsi="Times New Roman"/>
                <w:color w:val="FF0000"/>
                <w:sz w:val="28"/>
                <w:szCs w:val="28"/>
                <w:lang w:val="uk-UA" w:eastAsia="ru-RU"/>
              </w:rPr>
            </w:pPr>
            <w:r>
              <w:rPr>
                <w:rFonts w:ascii="Times New Roman" w:hAnsi="Times New Roman"/>
                <w:sz w:val="28"/>
                <w:szCs w:val="28"/>
                <w:lang w:val="uk-UA" w:eastAsia="ru-RU"/>
              </w:rPr>
              <w:t>2</w:t>
            </w:r>
            <w:r w:rsidR="002E4DD3" w:rsidRPr="008A5917">
              <w:rPr>
                <w:rFonts w:ascii="Times New Roman" w:hAnsi="Times New Roman"/>
                <w:sz w:val="28"/>
                <w:szCs w:val="28"/>
                <w:lang w:val="uk-UA" w:eastAsia="ru-RU"/>
              </w:rPr>
              <w:t xml:space="preserve">. </w:t>
            </w:r>
            <w:r w:rsidR="00414DB4" w:rsidRPr="00414DB4">
              <w:rPr>
                <w:rFonts w:ascii="Times New Roman" w:hAnsi="Times New Roman"/>
                <w:sz w:val="28"/>
                <w:szCs w:val="28"/>
                <w:lang w:val="uk-UA" w:eastAsia="uk-UA"/>
              </w:rPr>
              <w:t xml:space="preserve">Контроль за виконанням даного рішення покласти на постійну  комісію з  питань фінансів, бюджету, планування соціально-економічного розвитку, інвестицій </w:t>
            </w:r>
            <w:r w:rsidR="00467132">
              <w:rPr>
                <w:rFonts w:ascii="Times New Roman" w:hAnsi="Times New Roman"/>
                <w:sz w:val="28"/>
                <w:szCs w:val="28"/>
                <w:lang w:val="uk-UA" w:eastAsia="uk-UA"/>
              </w:rPr>
              <w:t>та міжнародного співробітництва.</w:t>
            </w:r>
          </w:p>
        </w:tc>
      </w:tr>
    </w:tbl>
    <w:p w:rsidR="002E4DD3" w:rsidRPr="00414DB4" w:rsidRDefault="002E4DD3" w:rsidP="002161D5">
      <w:pPr>
        <w:spacing w:after="0" w:line="240" w:lineRule="auto"/>
        <w:rPr>
          <w:rFonts w:ascii="Times New Roman" w:hAnsi="Times New Roman"/>
          <w:sz w:val="28"/>
          <w:szCs w:val="28"/>
          <w:lang w:val="uk-UA" w:eastAsia="uk-UA"/>
        </w:rPr>
      </w:pPr>
    </w:p>
    <w:p w:rsidR="002E4DD3" w:rsidRPr="00E5498C" w:rsidRDefault="002E4DD3" w:rsidP="008E4F45">
      <w:pPr>
        <w:tabs>
          <w:tab w:val="left" w:pos="1860"/>
        </w:tabs>
        <w:spacing w:after="0" w:line="240" w:lineRule="auto"/>
        <w:rPr>
          <w:rFonts w:ascii="Times New Roman" w:hAnsi="Times New Roman"/>
          <w:sz w:val="28"/>
          <w:szCs w:val="28"/>
          <w:lang w:val="uk-UA" w:eastAsia="ru-RU"/>
        </w:rPr>
      </w:pPr>
    </w:p>
    <w:p w:rsidR="002E4DD3" w:rsidRPr="00E5498C" w:rsidRDefault="002E4DD3" w:rsidP="008E4F45">
      <w:pPr>
        <w:tabs>
          <w:tab w:val="left" w:pos="1860"/>
        </w:tabs>
        <w:spacing w:after="0" w:line="240" w:lineRule="auto"/>
        <w:rPr>
          <w:rFonts w:ascii="Times New Roman" w:hAnsi="Times New Roman"/>
          <w:sz w:val="28"/>
          <w:szCs w:val="28"/>
          <w:lang w:val="uk-UA" w:eastAsia="ru-RU"/>
        </w:rPr>
      </w:pPr>
    </w:p>
    <w:p w:rsidR="002E4DD3" w:rsidRDefault="002E4DD3" w:rsidP="008E4F45">
      <w:pPr>
        <w:tabs>
          <w:tab w:val="left" w:pos="1860"/>
        </w:tabs>
        <w:spacing w:after="0" w:line="240" w:lineRule="auto"/>
        <w:rPr>
          <w:rFonts w:ascii="Times New Roman" w:hAnsi="Times New Roman"/>
          <w:sz w:val="28"/>
          <w:szCs w:val="28"/>
          <w:lang w:val="uk-UA" w:eastAsia="ru-RU"/>
        </w:rPr>
      </w:pPr>
      <w:r w:rsidRPr="00E5498C">
        <w:rPr>
          <w:rFonts w:ascii="Times New Roman" w:hAnsi="Times New Roman"/>
          <w:sz w:val="28"/>
          <w:szCs w:val="28"/>
          <w:lang w:val="uk-UA" w:eastAsia="ru-RU"/>
        </w:rPr>
        <w:t>Міський голова                                                                                         О. Корінний</w:t>
      </w:r>
    </w:p>
    <w:p w:rsidR="000261B5" w:rsidRDefault="000261B5" w:rsidP="008E4F45">
      <w:pPr>
        <w:tabs>
          <w:tab w:val="left" w:pos="1860"/>
        </w:tabs>
        <w:spacing w:after="0" w:line="240" w:lineRule="auto"/>
        <w:rPr>
          <w:rFonts w:ascii="Times New Roman" w:hAnsi="Times New Roman"/>
          <w:sz w:val="28"/>
          <w:szCs w:val="28"/>
          <w:lang w:val="uk-UA" w:eastAsia="ru-RU"/>
        </w:rPr>
      </w:pPr>
    </w:p>
    <w:p w:rsidR="000261B5" w:rsidRDefault="000261B5" w:rsidP="008E4F45">
      <w:pPr>
        <w:tabs>
          <w:tab w:val="left" w:pos="1860"/>
        </w:tabs>
        <w:spacing w:after="0" w:line="240" w:lineRule="auto"/>
        <w:rPr>
          <w:rFonts w:ascii="Times New Roman" w:hAnsi="Times New Roman"/>
          <w:sz w:val="28"/>
          <w:szCs w:val="28"/>
          <w:lang w:val="uk-UA" w:eastAsia="ru-RU"/>
        </w:rPr>
      </w:pPr>
    </w:p>
    <w:p w:rsidR="000261B5" w:rsidRDefault="000261B5" w:rsidP="008E4F45">
      <w:pPr>
        <w:tabs>
          <w:tab w:val="left" w:pos="1860"/>
        </w:tabs>
        <w:spacing w:after="0" w:line="240" w:lineRule="auto"/>
        <w:rPr>
          <w:rFonts w:ascii="Times New Roman" w:hAnsi="Times New Roman"/>
          <w:sz w:val="28"/>
          <w:szCs w:val="28"/>
          <w:lang w:val="uk-UA" w:eastAsia="ru-RU"/>
        </w:rPr>
      </w:pPr>
    </w:p>
    <w:p w:rsidR="000261B5" w:rsidRDefault="000261B5" w:rsidP="008E4F45">
      <w:pPr>
        <w:tabs>
          <w:tab w:val="left" w:pos="1860"/>
        </w:tabs>
        <w:spacing w:after="0" w:line="240" w:lineRule="auto"/>
        <w:rPr>
          <w:rFonts w:ascii="Times New Roman" w:hAnsi="Times New Roman"/>
          <w:sz w:val="28"/>
          <w:szCs w:val="28"/>
          <w:lang w:val="uk-UA" w:eastAsia="ru-RU"/>
        </w:rPr>
      </w:pPr>
    </w:p>
    <w:p w:rsidR="000261B5" w:rsidRDefault="000261B5" w:rsidP="008E4F45">
      <w:pPr>
        <w:tabs>
          <w:tab w:val="left" w:pos="1860"/>
        </w:tabs>
        <w:spacing w:after="0" w:line="240" w:lineRule="auto"/>
        <w:rPr>
          <w:rFonts w:ascii="Times New Roman" w:hAnsi="Times New Roman"/>
          <w:sz w:val="28"/>
          <w:szCs w:val="28"/>
          <w:lang w:val="uk-UA" w:eastAsia="ru-RU"/>
        </w:rPr>
      </w:pPr>
    </w:p>
    <w:p w:rsidR="000261B5" w:rsidRDefault="000261B5" w:rsidP="008E4F45">
      <w:pPr>
        <w:tabs>
          <w:tab w:val="left" w:pos="1860"/>
        </w:tabs>
        <w:spacing w:after="0" w:line="240" w:lineRule="auto"/>
        <w:rPr>
          <w:rFonts w:ascii="Times New Roman" w:hAnsi="Times New Roman"/>
          <w:sz w:val="28"/>
          <w:szCs w:val="28"/>
          <w:lang w:val="uk-UA" w:eastAsia="ru-RU"/>
        </w:rPr>
      </w:pPr>
    </w:p>
    <w:p w:rsidR="000261B5" w:rsidRDefault="000261B5" w:rsidP="008E4F45">
      <w:pPr>
        <w:tabs>
          <w:tab w:val="left" w:pos="1860"/>
        </w:tabs>
        <w:spacing w:after="0" w:line="240" w:lineRule="auto"/>
        <w:rPr>
          <w:rFonts w:ascii="Times New Roman" w:hAnsi="Times New Roman"/>
          <w:sz w:val="28"/>
          <w:szCs w:val="28"/>
          <w:lang w:val="uk-UA" w:eastAsia="ru-RU"/>
        </w:rPr>
      </w:pPr>
    </w:p>
    <w:p w:rsidR="00EA5ED2" w:rsidRDefault="00EA5ED2" w:rsidP="008E4F45">
      <w:pPr>
        <w:tabs>
          <w:tab w:val="left" w:pos="1860"/>
        </w:tabs>
        <w:spacing w:after="0" w:line="240" w:lineRule="auto"/>
        <w:rPr>
          <w:rFonts w:ascii="Times New Roman" w:hAnsi="Times New Roman"/>
          <w:sz w:val="28"/>
          <w:szCs w:val="28"/>
          <w:lang w:val="uk-UA" w:eastAsia="ru-RU"/>
        </w:rPr>
      </w:pPr>
    </w:p>
    <w:p w:rsidR="00EA5ED2" w:rsidRDefault="00EA5ED2" w:rsidP="008E4F45">
      <w:pPr>
        <w:tabs>
          <w:tab w:val="left" w:pos="1860"/>
        </w:tabs>
        <w:spacing w:after="0" w:line="240" w:lineRule="auto"/>
        <w:rPr>
          <w:rFonts w:ascii="Times New Roman" w:hAnsi="Times New Roman"/>
          <w:sz w:val="28"/>
          <w:szCs w:val="28"/>
          <w:lang w:val="uk-UA" w:eastAsia="ru-RU"/>
        </w:rPr>
      </w:pPr>
    </w:p>
    <w:p w:rsidR="00EA5ED2" w:rsidRDefault="00EA5ED2" w:rsidP="008E4F45">
      <w:pPr>
        <w:tabs>
          <w:tab w:val="left" w:pos="1860"/>
        </w:tabs>
        <w:spacing w:after="0" w:line="240" w:lineRule="auto"/>
        <w:rPr>
          <w:rFonts w:ascii="Times New Roman" w:hAnsi="Times New Roman"/>
          <w:sz w:val="28"/>
          <w:szCs w:val="28"/>
          <w:lang w:val="uk-UA" w:eastAsia="ru-RU"/>
        </w:rPr>
      </w:pPr>
    </w:p>
    <w:p w:rsidR="00EA5ED2" w:rsidRDefault="00EA5ED2" w:rsidP="008E4F45">
      <w:pPr>
        <w:tabs>
          <w:tab w:val="left" w:pos="1860"/>
        </w:tabs>
        <w:spacing w:after="0" w:line="240" w:lineRule="auto"/>
        <w:rPr>
          <w:rFonts w:ascii="Times New Roman" w:hAnsi="Times New Roman"/>
          <w:sz w:val="28"/>
          <w:szCs w:val="28"/>
          <w:lang w:val="uk-UA" w:eastAsia="ru-RU"/>
        </w:rPr>
      </w:pPr>
    </w:p>
    <w:p w:rsidR="000261B5" w:rsidRDefault="000261B5" w:rsidP="008E4F45">
      <w:pPr>
        <w:tabs>
          <w:tab w:val="left" w:pos="1860"/>
        </w:tabs>
        <w:spacing w:after="0" w:line="240" w:lineRule="auto"/>
        <w:rPr>
          <w:rFonts w:ascii="Times New Roman" w:hAnsi="Times New Roman"/>
          <w:sz w:val="28"/>
          <w:szCs w:val="28"/>
          <w:lang w:val="uk-UA" w:eastAsia="ru-RU"/>
        </w:rPr>
      </w:pPr>
    </w:p>
    <w:p w:rsidR="000261B5" w:rsidRPr="000261B5" w:rsidRDefault="000261B5" w:rsidP="000261B5">
      <w:pPr>
        <w:tabs>
          <w:tab w:val="left" w:pos="1860"/>
        </w:tabs>
        <w:spacing w:after="0" w:line="240" w:lineRule="auto"/>
        <w:jc w:val="center"/>
        <w:rPr>
          <w:rFonts w:ascii="Times New Roman" w:hAnsi="Times New Roman"/>
          <w:sz w:val="28"/>
          <w:szCs w:val="28"/>
          <w:lang w:val="uk-UA" w:eastAsia="ru-RU"/>
        </w:rPr>
      </w:pPr>
      <w:r w:rsidRPr="000261B5">
        <w:rPr>
          <w:rFonts w:ascii="Times New Roman" w:hAnsi="Times New Roman"/>
          <w:sz w:val="28"/>
          <w:szCs w:val="28"/>
          <w:lang w:val="uk-UA" w:eastAsia="ru-RU"/>
        </w:rPr>
        <w:lastRenderedPageBreak/>
        <w:t>ПРОГНОЗ</w:t>
      </w:r>
    </w:p>
    <w:p w:rsidR="000261B5" w:rsidRPr="000261B5" w:rsidRDefault="000261B5" w:rsidP="000261B5">
      <w:pPr>
        <w:tabs>
          <w:tab w:val="left" w:pos="1860"/>
        </w:tabs>
        <w:spacing w:after="0" w:line="240" w:lineRule="auto"/>
        <w:jc w:val="center"/>
        <w:rPr>
          <w:rFonts w:ascii="Times New Roman" w:hAnsi="Times New Roman"/>
          <w:sz w:val="28"/>
          <w:szCs w:val="28"/>
          <w:lang w:val="uk-UA" w:eastAsia="ru-RU"/>
        </w:rPr>
      </w:pPr>
      <w:r w:rsidRPr="000261B5">
        <w:rPr>
          <w:rFonts w:ascii="Times New Roman" w:hAnsi="Times New Roman"/>
          <w:sz w:val="28"/>
          <w:szCs w:val="28"/>
          <w:lang w:val="uk-UA" w:eastAsia="ru-RU"/>
        </w:rPr>
        <w:t>бюджету Новоукраїнської міської територіальної громади</w:t>
      </w:r>
    </w:p>
    <w:p w:rsidR="000261B5" w:rsidRPr="000261B5" w:rsidRDefault="000261B5" w:rsidP="000261B5">
      <w:pPr>
        <w:tabs>
          <w:tab w:val="left" w:pos="1860"/>
        </w:tabs>
        <w:spacing w:after="0" w:line="240" w:lineRule="auto"/>
        <w:jc w:val="center"/>
        <w:rPr>
          <w:rFonts w:ascii="Times New Roman" w:hAnsi="Times New Roman"/>
          <w:sz w:val="28"/>
          <w:szCs w:val="28"/>
          <w:lang w:val="uk-UA" w:eastAsia="ru-RU"/>
        </w:rPr>
      </w:pPr>
      <w:r w:rsidRPr="000261B5">
        <w:rPr>
          <w:rFonts w:ascii="Times New Roman" w:hAnsi="Times New Roman"/>
          <w:sz w:val="28"/>
          <w:szCs w:val="28"/>
          <w:lang w:val="uk-UA" w:eastAsia="ru-RU"/>
        </w:rPr>
        <w:t>на 2022 – 2024 роки</w:t>
      </w:r>
    </w:p>
    <w:p w:rsidR="000261B5" w:rsidRPr="000261B5" w:rsidRDefault="000261B5" w:rsidP="000261B5">
      <w:pPr>
        <w:tabs>
          <w:tab w:val="left" w:pos="1860"/>
        </w:tabs>
        <w:spacing w:after="0" w:line="240" w:lineRule="auto"/>
        <w:jc w:val="center"/>
        <w:rPr>
          <w:rFonts w:ascii="Times New Roman" w:hAnsi="Times New Roman"/>
          <w:sz w:val="28"/>
          <w:szCs w:val="28"/>
          <w:lang w:val="uk-UA" w:eastAsia="ru-RU"/>
        </w:rPr>
      </w:pPr>
      <w:r w:rsidRPr="000261B5">
        <w:rPr>
          <w:rFonts w:ascii="Times New Roman" w:hAnsi="Times New Roman"/>
          <w:sz w:val="28"/>
          <w:szCs w:val="28"/>
          <w:lang w:val="uk-UA" w:eastAsia="ru-RU"/>
        </w:rPr>
        <w:t>(11503000000)</w:t>
      </w:r>
    </w:p>
    <w:p w:rsidR="000261B5" w:rsidRPr="000261B5" w:rsidRDefault="000261B5" w:rsidP="000261B5">
      <w:pPr>
        <w:tabs>
          <w:tab w:val="left" w:pos="1860"/>
        </w:tabs>
        <w:spacing w:after="0" w:line="240" w:lineRule="auto"/>
        <w:jc w:val="center"/>
        <w:rPr>
          <w:rFonts w:ascii="Times New Roman" w:hAnsi="Times New Roman"/>
          <w:sz w:val="28"/>
          <w:szCs w:val="28"/>
          <w:lang w:val="uk-UA" w:eastAsia="ru-RU"/>
        </w:rPr>
      </w:pPr>
      <w:r w:rsidRPr="000261B5">
        <w:rPr>
          <w:rFonts w:ascii="Times New Roman" w:hAnsi="Times New Roman"/>
          <w:sz w:val="28"/>
          <w:szCs w:val="28"/>
          <w:lang w:val="uk-UA" w:eastAsia="ru-RU"/>
        </w:rPr>
        <w:t>(код бюджету)</w:t>
      </w:r>
    </w:p>
    <w:p w:rsidR="000261B5" w:rsidRPr="000261B5" w:rsidRDefault="000261B5" w:rsidP="000261B5">
      <w:pPr>
        <w:tabs>
          <w:tab w:val="left" w:pos="1860"/>
        </w:tabs>
        <w:spacing w:after="0" w:line="240" w:lineRule="auto"/>
        <w:jc w:val="center"/>
        <w:rPr>
          <w:rFonts w:ascii="Times New Roman" w:hAnsi="Times New Roman"/>
          <w:sz w:val="28"/>
          <w:szCs w:val="28"/>
          <w:lang w:val="uk-UA" w:eastAsia="ru-RU"/>
        </w:rPr>
      </w:pPr>
    </w:p>
    <w:p w:rsidR="000261B5" w:rsidRPr="000261B5" w:rsidRDefault="000261B5" w:rsidP="000261B5">
      <w:pPr>
        <w:tabs>
          <w:tab w:val="left" w:pos="1860"/>
        </w:tabs>
        <w:spacing w:after="0" w:line="240" w:lineRule="auto"/>
        <w:jc w:val="center"/>
        <w:rPr>
          <w:rFonts w:ascii="Times New Roman" w:hAnsi="Times New Roman"/>
          <w:sz w:val="28"/>
          <w:szCs w:val="28"/>
          <w:lang w:val="uk-UA" w:eastAsia="ru-RU"/>
        </w:rPr>
      </w:pPr>
      <w:r w:rsidRPr="000261B5">
        <w:rPr>
          <w:rFonts w:ascii="Times New Roman" w:hAnsi="Times New Roman"/>
          <w:sz w:val="28"/>
          <w:szCs w:val="28"/>
          <w:lang w:val="uk-UA" w:eastAsia="ru-RU"/>
        </w:rPr>
        <w:t>І. Загальна частина</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Прогноз бюджету Новоукраїнської міської територіальної громади на 2022-2024 роки (далі – Прогноз) розроблено відповідно до статті 75¹ Бюджетного кодексу України, діючого Податкового та Бюджетного кодексів України та інших законодавчих актів, що стосуються місцевих бюджетів та міжбюджетних відносин.</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Показники Прогнозу сформовано на підставі положень Бюджетної декларації на 2022-2024 роки, основних прогнозних </w:t>
      </w:r>
      <w:proofErr w:type="spellStart"/>
      <w:r w:rsidRPr="000261B5">
        <w:rPr>
          <w:rFonts w:ascii="Times New Roman" w:hAnsi="Times New Roman"/>
          <w:sz w:val="28"/>
          <w:szCs w:val="28"/>
          <w:lang w:val="uk-UA" w:eastAsia="ru-RU"/>
        </w:rPr>
        <w:t>макропоказників</w:t>
      </w:r>
      <w:proofErr w:type="spellEnd"/>
      <w:r w:rsidRPr="000261B5">
        <w:rPr>
          <w:rFonts w:ascii="Times New Roman" w:hAnsi="Times New Roman"/>
          <w:sz w:val="28"/>
          <w:szCs w:val="28"/>
          <w:lang w:val="uk-UA" w:eastAsia="ru-RU"/>
        </w:rPr>
        <w:t xml:space="preserve"> економічного і соціального розвитку України, схваленої постановою Кабінету Міністрів України від 31 травня 2021 року № 548, а також на основі комплексного аналізу економічної ситуації, стану фінансового потенціалу, оцінки досягнутого рівня розвитку економіки і соціальної сфери Новоукраїнської міської територіальної громади. Прогноз враховує положення Програми економічного і соціального розвитку Новоукраїнської міської територіальної громади на 2021 рік та основних напрямів розвитку на 2022 і 2023 роки, затвердженої рішенням Новоукраїнської міської ради від 01 грудня 2020 року № 22, і місцевих галузевих програм на відповідний період, затверджених міською радою.</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Прогноз є стратегічним документом планування показників бюджету міської територіальної громади на середньостроковий період і основою для складання проекту бюджету на 2022 рік.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Мета Прогнозу полягає у формуванні послідовної та передбачуваної бюджетної політики на рівні громади шляхом створення дієвого механізму управління бюджетним процесом, встановлення зв’язку між стратегічними цілями та можливостями бюджету в середньостроковій перспективі.</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Для досягнення мети Прогнозу планується забезпечити виконання наступних завдань:</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підвищення рівня доступності та якості публічних послуг;</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забезпечення комфортності проживання мешканців громади;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прогнозування обсягів видатків, пов’язаних із продовженням вже існуючих бюджетних програм, та визначення наявності фінансового ресурсу для планування нових бюджетних програм;</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забезпечення фінансування інвестиційних проектів, що мають термін реалізації більше одного року;</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підвищення результативності та ефективності видатків бюджету;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підвищення прозорості бюджетного процесу;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посилення бюджетної дисципліни та контролю за використанням бюджетних коштів;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підвищення рівня відповідальності учасників бюджетного процесу.</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Прогноз містить цілі державної політики у відповідній сфері діяльності, формування та/або реалізацію якої забезпечує головний розпорядник коштів </w:t>
      </w:r>
      <w:r w:rsidRPr="000261B5">
        <w:rPr>
          <w:rFonts w:ascii="Times New Roman" w:hAnsi="Times New Roman"/>
          <w:sz w:val="28"/>
          <w:szCs w:val="28"/>
          <w:lang w:val="uk-UA" w:eastAsia="ru-RU"/>
        </w:rPr>
        <w:lastRenderedPageBreak/>
        <w:t>бюджету міської територіальної громади, та показники їх досягнення на 2022 – 2024 роки у межах визначених граничних показників видатків та надання кредитів.</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Виконання прогнозних показників бюджету в середньостроковому періоді дозволить:</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реалізувати цілі державної політики та місцевого розвитку, включаючи покращення якості надання публічних послуг та комфортності проживання жителів громади;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забезпечити передбачуваність та послідовність бюджетної політики;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впровадити соціальні стандарти.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Можливими ризиками невиконання прогнозних показників можуть бути зростання тарифів на оплату комунальних послуг та енергоносіїв на 5 % і більше у порівнянні з показниками, врахованими у Прогнозі, невиконання прогнозних показників доходів бюджету на 5 % і вище, підвищення рівня інфляції. Заходами з мінімізації впливу фіскальних ризиків на показники бюджету є здійснення заходів з енергоощадження, покращення адміністрування податків і зборів, зниження частки тіньової економіки, залучення грантів (кредитів) Міжнародних фінансових організацій, підвищення інвестиційної привабливості громади.</w:t>
      </w:r>
    </w:p>
    <w:p w:rsidR="000261B5" w:rsidRPr="000261B5" w:rsidRDefault="000261B5" w:rsidP="000261B5">
      <w:pPr>
        <w:tabs>
          <w:tab w:val="left" w:pos="1860"/>
        </w:tabs>
        <w:spacing w:after="0" w:line="240" w:lineRule="auto"/>
        <w:ind w:firstLine="709"/>
        <w:jc w:val="both"/>
        <w:rPr>
          <w:rFonts w:ascii="Times New Roman" w:hAnsi="Times New Roman"/>
          <w:color w:val="FF0000"/>
          <w:sz w:val="28"/>
          <w:szCs w:val="28"/>
          <w:lang w:val="uk-UA" w:eastAsia="ru-RU"/>
        </w:rPr>
      </w:pPr>
    </w:p>
    <w:p w:rsidR="000261B5" w:rsidRPr="000261B5" w:rsidRDefault="000261B5" w:rsidP="000261B5">
      <w:pPr>
        <w:tabs>
          <w:tab w:val="left" w:pos="1860"/>
        </w:tabs>
        <w:spacing w:after="0" w:line="240" w:lineRule="auto"/>
        <w:ind w:firstLine="709"/>
        <w:jc w:val="center"/>
        <w:rPr>
          <w:rFonts w:ascii="Times New Roman" w:hAnsi="Times New Roman"/>
          <w:b/>
          <w:sz w:val="28"/>
          <w:szCs w:val="28"/>
          <w:lang w:val="uk-UA" w:eastAsia="ru-RU"/>
        </w:rPr>
      </w:pPr>
      <w:r w:rsidRPr="000261B5">
        <w:rPr>
          <w:rFonts w:ascii="Times New Roman" w:hAnsi="Times New Roman"/>
          <w:b/>
          <w:sz w:val="28"/>
          <w:szCs w:val="28"/>
          <w:lang w:val="uk-UA" w:eastAsia="ru-RU"/>
        </w:rPr>
        <w:t xml:space="preserve">ІІ. Основні прогнозні показники економічного та соціального розвитку </w:t>
      </w:r>
    </w:p>
    <w:p w:rsidR="000261B5" w:rsidRPr="000261B5" w:rsidRDefault="000261B5" w:rsidP="000261B5">
      <w:pPr>
        <w:tabs>
          <w:tab w:val="left" w:pos="1860"/>
        </w:tabs>
        <w:spacing w:after="0" w:line="240" w:lineRule="auto"/>
        <w:ind w:firstLine="709"/>
        <w:jc w:val="center"/>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Метою соціально-економічного розвитку Новоукраїнської міської  територіальної громади в 2021 році є забезпечення сталого розвитку реального сектора економіки та подальшого розвитку соціальної сфери, підвищення матеріального і культурного рівня життя населення незалежно від етнічного походження, віросповідання, політичних переконань, статті, віку на основі ефективного використання природно-ресурсного, фінансового потенціалу та трудових ресурсів.</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Стратегічно важливим для розвитку Новоукраїнської міської територіальної громади є три напрями розвитку громади:</w:t>
      </w:r>
    </w:p>
    <w:p w:rsidR="000261B5" w:rsidRPr="000261B5" w:rsidRDefault="000261B5" w:rsidP="000261B5">
      <w:pPr>
        <w:tabs>
          <w:tab w:val="left" w:pos="1860"/>
        </w:tabs>
        <w:spacing w:after="0" w:line="240" w:lineRule="auto"/>
        <w:ind w:firstLine="709"/>
        <w:jc w:val="both"/>
        <w:rPr>
          <w:rFonts w:ascii="Times New Roman" w:hAnsi="Times New Roman"/>
          <w:color w:val="FF0000"/>
          <w:sz w:val="28"/>
          <w:szCs w:val="28"/>
          <w:lang w:val="uk-UA" w:eastAsia="ru-RU"/>
        </w:rPr>
      </w:pPr>
      <w:r w:rsidRPr="000261B5">
        <w:rPr>
          <w:rFonts w:ascii="Times New Roman" w:hAnsi="Times New Roman"/>
          <w:bCs/>
          <w:sz w:val="28"/>
          <w:szCs w:val="28"/>
          <w:lang w:val="uk-UA" w:eastAsia="ru-RU"/>
        </w:rPr>
        <w:t xml:space="preserve">- підвищення рівня життя кожного мешканця громади в результаті місцевого економічного розвитку. Такий розвиток неможливий без інвестицій із зовнішніх джерел та власних інвестицій у розвиток території. Один із першочергових заходів, який необхідно було реалізувати, оновлення Генерального плану проведено, також пройдено експертизу вартістю                      48 </w:t>
      </w:r>
      <w:proofErr w:type="spellStart"/>
      <w:r w:rsidRPr="000261B5">
        <w:rPr>
          <w:rFonts w:ascii="Times New Roman" w:hAnsi="Times New Roman"/>
          <w:bCs/>
          <w:sz w:val="28"/>
          <w:szCs w:val="28"/>
          <w:lang w:val="uk-UA" w:eastAsia="ru-RU"/>
        </w:rPr>
        <w:t>тис.грн</w:t>
      </w:r>
      <w:proofErr w:type="spellEnd"/>
      <w:r w:rsidRPr="000261B5">
        <w:rPr>
          <w:rFonts w:ascii="Times New Roman" w:hAnsi="Times New Roman"/>
          <w:bCs/>
          <w:sz w:val="28"/>
          <w:szCs w:val="28"/>
          <w:lang w:val="uk-UA" w:eastAsia="ru-RU"/>
        </w:rPr>
        <w:t>., наступним кроком є замовлення плану зонування м. Новоукраїнка. Проведено інвентаризацію привабливих для інвесторів об’єктів нерухомого комунального майна та земельних ділянок, сформовано реєстр вільних земельних ділянок, здійснюється його постійна актуалізація;</w:t>
      </w:r>
    </w:p>
    <w:p w:rsidR="000261B5" w:rsidRPr="000261B5" w:rsidRDefault="000261B5" w:rsidP="000261B5">
      <w:pPr>
        <w:tabs>
          <w:tab w:val="left" w:pos="1860"/>
        </w:tabs>
        <w:spacing w:after="0" w:line="240" w:lineRule="auto"/>
        <w:ind w:firstLine="709"/>
        <w:jc w:val="both"/>
        <w:rPr>
          <w:rFonts w:ascii="Times New Roman" w:hAnsi="Times New Roman"/>
          <w:color w:val="FF0000"/>
          <w:sz w:val="28"/>
          <w:szCs w:val="28"/>
          <w:lang w:val="uk-UA" w:eastAsia="ru-RU"/>
        </w:rPr>
      </w:pPr>
      <w:r w:rsidRPr="000261B5">
        <w:rPr>
          <w:rFonts w:ascii="Times New Roman" w:hAnsi="Times New Roman"/>
          <w:bCs/>
          <w:sz w:val="28"/>
          <w:szCs w:val="28"/>
          <w:lang w:val="uk-UA" w:eastAsia="ru-RU"/>
        </w:rPr>
        <w:t xml:space="preserve">- поетапне здійснення капітального ремонту інфраструктурних об’єктів: доріг, мостів, тротуарів, систем водопостачання та водовідведення, реконструкції очисних споруд, будівництво нових та очистку існуючих артезіанських свердловин, очищення русел малих річок та громадських </w:t>
      </w:r>
      <w:r w:rsidRPr="000261B5">
        <w:rPr>
          <w:rFonts w:ascii="Times New Roman" w:hAnsi="Times New Roman"/>
          <w:bCs/>
          <w:sz w:val="28"/>
          <w:szCs w:val="28"/>
          <w:lang w:val="uk-UA" w:eastAsia="ru-RU"/>
        </w:rPr>
        <w:lastRenderedPageBreak/>
        <w:t>криниць, реконструкція мереж зовнішнього освітлення вулиць, а також проведення благоустрою громади;</w:t>
      </w:r>
    </w:p>
    <w:p w:rsidR="000261B5" w:rsidRPr="000261B5" w:rsidRDefault="000261B5" w:rsidP="000261B5">
      <w:pPr>
        <w:tabs>
          <w:tab w:val="left" w:pos="1860"/>
        </w:tabs>
        <w:spacing w:after="0" w:line="240" w:lineRule="auto"/>
        <w:ind w:firstLine="709"/>
        <w:jc w:val="both"/>
        <w:rPr>
          <w:rFonts w:ascii="Times New Roman" w:hAnsi="Times New Roman"/>
          <w:bCs/>
          <w:sz w:val="28"/>
          <w:szCs w:val="28"/>
          <w:lang w:val="uk-UA" w:eastAsia="ru-RU"/>
        </w:rPr>
      </w:pPr>
      <w:r w:rsidRPr="000261B5">
        <w:rPr>
          <w:rFonts w:ascii="Times New Roman" w:hAnsi="Times New Roman"/>
          <w:sz w:val="28"/>
          <w:szCs w:val="28"/>
          <w:lang w:eastAsia="ru-RU"/>
        </w:rPr>
        <w:t> </w:t>
      </w:r>
      <w:r w:rsidRPr="000261B5">
        <w:rPr>
          <w:rFonts w:ascii="Times New Roman" w:hAnsi="Times New Roman"/>
          <w:bCs/>
          <w:sz w:val="28"/>
          <w:szCs w:val="28"/>
          <w:lang w:val="uk-UA" w:eastAsia="ru-RU"/>
        </w:rPr>
        <w:t xml:space="preserve">-  сталий розвиток людських ресурсів, зокрема в створенні системи патріотичного, культурного, екологічного та естетичного виховання громади.  Громада має стати культурним центром змістовного відпочинку, регіонального розвитку спорту та охорони здоров’я, освітнім та духовним центром виховання молодого покоління.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На середньострокову перспективу в умовах відновлення економіки України, завданнями бюджету громади є: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забезпечення у повному обсязі соціально захищених видатків;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оптимізація бюджетних видатків шляхом скорочення неефективних бюджетних програм;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визначення резервів росту доходів міського бюджету;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стимулювання інвестиційно-інноваційної складової бюджету розвитку міського бюджету;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забезпечення необхідних фінансових пропорцій згідно з Програмою економічного і соціального розвитку громади;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здійснення видатків місцевих бюджетів в межах реального фінансового ресурсу;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підтримка економічного зростання громади, зміцнення фінансово - економічної самостійності.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eastAsia="ru-RU"/>
        </w:rPr>
        <w:t xml:space="preserve">До </w:t>
      </w:r>
      <w:proofErr w:type="spellStart"/>
      <w:r w:rsidRPr="000261B5">
        <w:rPr>
          <w:rFonts w:ascii="Times New Roman" w:hAnsi="Times New Roman"/>
          <w:sz w:val="28"/>
          <w:szCs w:val="28"/>
          <w:lang w:eastAsia="ru-RU"/>
        </w:rPr>
        <w:t>основних</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напрямків</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розвитку</w:t>
      </w:r>
      <w:proofErr w:type="spellEnd"/>
      <w:r w:rsidRPr="000261B5">
        <w:rPr>
          <w:rFonts w:ascii="Times New Roman" w:hAnsi="Times New Roman"/>
          <w:sz w:val="28"/>
          <w:szCs w:val="28"/>
          <w:lang w:eastAsia="ru-RU"/>
        </w:rPr>
        <w:t xml:space="preserve"> </w:t>
      </w:r>
      <w:r w:rsidRPr="000261B5">
        <w:rPr>
          <w:rFonts w:ascii="Times New Roman" w:hAnsi="Times New Roman"/>
          <w:sz w:val="28"/>
          <w:szCs w:val="28"/>
          <w:lang w:val="uk-UA" w:eastAsia="ru-RU"/>
        </w:rPr>
        <w:t xml:space="preserve">громади </w:t>
      </w:r>
      <w:proofErr w:type="spellStart"/>
      <w:r w:rsidRPr="000261B5">
        <w:rPr>
          <w:rFonts w:ascii="Times New Roman" w:hAnsi="Times New Roman"/>
          <w:sz w:val="28"/>
          <w:szCs w:val="28"/>
          <w:lang w:eastAsia="ru-RU"/>
        </w:rPr>
        <w:t>належить</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створення</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передумов</w:t>
      </w:r>
      <w:proofErr w:type="spellEnd"/>
      <w:r w:rsidRPr="000261B5">
        <w:rPr>
          <w:rFonts w:ascii="Times New Roman" w:hAnsi="Times New Roman"/>
          <w:sz w:val="28"/>
          <w:szCs w:val="28"/>
          <w:lang w:eastAsia="ru-RU"/>
        </w:rPr>
        <w:t xml:space="preserve"> для </w:t>
      </w:r>
      <w:proofErr w:type="spellStart"/>
      <w:proofErr w:type="gramStart"/>
      <w:r w:rsidRPr="000261B5">
        <w:rPr>
          <w:rFonts w:ascii="Times New Roman" w:hAnsi="Times New Roman"/>
          <w:sz w:val="28"/>
          <w:szCs w:val="28"/>
          <w:lang w:eastAsia="ru-RU"/>
        </w:rPr>
        <w:t>ст</w:t>
      </w:r>
      <w:proofErr w:type="gramEnd"/>
      <w:r w:rsidRPr="000261B5">
        <w:rPr>
          <w:rFonts w:ascii="Times New Roman" w:hAnsi="Times New Roman"/>
          <w:sz w:val="28"/>
          <w:szCs w:val="28"/>
          <w:lang w:eastAsia="ru-RU"/>
        </w:rPr>
        <w:t>ійкого</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соціально-економічного</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розвитку</w:t>
      </w:r>
      <w:proofErr w:type="spellEnd"/>
      <w:r w:rsidRPr="000261B5">
        <w:rPr>
          <w:rFonts w:ascii="Times New Roman" w:hAnsi="Times New Roman"/>
          <w:sz w:val="28"/>
          <w:szCs w:val="28"/>
          <w:lang w:eastAsia="ru-RU"/>
        </w:rPr>
        <w:t xml:space="preserve"> на </w:t>
      </w:r>
      <w:proofErr w:type="spellStart"/>
      <w:r w:rsidRPr="000261B5">
        <w:rPr>
          <w:rFonts w:ascii="Times New Roman" w:hAnsi="Times New Roman"/>
          <w:sz w:val="28"/>
          <w:szCs w:val="28"/>
          <w:lang w:eastAsia="ru-RU"/>
        </w:rPr>
        <w:t>основі</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підвищення</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конкурентоспроможності</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економіки</w:t>
      </w:r>
      <w:proofErr w:type="spellEnd"/>
      <w:r w:rsidRPr="000261B5">
        <w:rPr>
          <w:rFonts w:ascii="Times New Roman" w:hAnsi="Times New Roman"/>
          <w:sz w:val="28"/>
          <w:szCs w:val="28"/>
          <w:lang w:eastAsia="ru-RU"/>
        </w:rPr>
        <w:t xml:space="preserve"> </w:t>
      </w:r>
      <w:r w:rsidRPr="000261B5">
        <w:rPr>
          <w:rFonts w:ascii="Times New Roman" w:hAnsi="Times New Roman"/>
          <w:sz w:val="28"/>
          <w:szCs w:val="28"/>
          <w:lang w:val="uk-UA" w:eastAsia="ru-RU"/>
        </w:rPr>
        <w:t>громади</w:t>
      </w:r>
      <w:r w:rsidRPr="000261B5">
        <w:rPr>
          <w:rFonts w:ascii="Times New Roman" w:hAnsi="Times New Roman"/>
          <w:sz w:val="28"/>
          <w:szCs w:val="28"/>
          <w:lang w:eastAsia="ru-RU"/>
        </w:rPr>
        <w:t xml:space="preserve"> для </w:t>
      </w:r>
      <w:proofErr w:type="spellStart"/>
      <w:r w:rsidRPr="000261B5">
        <w:rPr>
          <w:rFonts w:ascii="Times New Roman" w:hAnsi="Times New Roman"/>
          <w:sz w:val="28"/>
          <w:szCs w:val="28"/>
          <w:lang w:eastAsia="ru-RU"/>
        </w:rPr>
        <w:t>розв’язання</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соціальних</w:t>
      </w:r>
      <w:proofErr w:type="spellEnd"/>
      <w:r w:rsidRPr="000261B5">
        <w:rPr>
          <w:rFonts w:ascii="Times New Roman" w:hAnsi="Times New Roman"/>
          <w:sz w:val="28"/>
          <w:szCs w:val="28"/>
          <w:lang w:eastAsia="ru-RU"/>
        </w:rPr>
        <w:t xml:space="preserve"> проблем та </w:t>
      </w:r>
      <w:proofErr w:type="spellStart"/>
      <w:r w:rsidRPr="000261B5">
        <w:rPr>
          <w:rFonts w:ascii="Times New Roman" w:hAnsi="Times New Roman"/>
          <w:sz w:val="28"/>
          <w:szCs w:val="28"/>
          <w:lang w:eastAsia="ru-RU"/>
        </w:rPr>
        <w:t>зростання</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якості</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життя</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населення</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Досягнення</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зазначеної</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цілі</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планується</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здійснити</w:t>
      </w:r>
      <w:proofErr w:type="spellEnd"/>
      <w:r w:rsidRPr="000261B5">
        <w:rPr>
          <w:rFonts w:ascii="Times New Roman" w:hAnsi="Times New Roman"/>
          <w:sz w:val="28"/>
          <w:szCs w:val="28"/>
          <w:lang w:eastAsia="ru-RU"/>
        </w:rPr>
        <w:t xml:space="preserve"> шляхом </w:t>
      </w:r>
      <w:proofErr w:type="spellStart"/>
      <w:r w:rsidRPr="000261B5">
        <w:rPr>
          <w:rFonts w:ascii="Times New Roman" w:hAnsi="Times New Roman"/>
          <w:sz w:val="28"/>
          <w:szCs w:val="28"/>
          <w:lang w:eastAsia="ru-RU"/>
        </w:rPr>
        <w:t>реалізації</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наступних</w:t>
      </w:r>
      <w:proofErr w:type="spellEnd"/>
      <w:r w:rsidRPr="000261B5">
        <w:rPr>
          <w:rFonts w:ascii="Times New Roman" w:hAnsi="Times New Roman"/>
          <w:sz w:val="28"/>
          <w:szCs w:val="28"/>
          <w:lang w:eastAsia="ru-RU"/>
        </w:rPr>
        <w:t xml:space="preserve"> </w:t>
      </w:r>
      <w:proofErr w:type="spellStart"/>
      <w:proofErr w:type="gramStart"/>
      <w:r w:rsidRPr="000261B5">
        <w:rPr>
          <w:rFonts w:ascii="Times New Roman" w:hAnsi="Times New Roman"/>
          <w:sz w:val="28"/>
          <w:szCs w:val="28"/>
          <w:lang w:eastAsia="ru-RU"/>
        </w:rPr>
        <w:t>пр</w:t>
      </w:r>
      <w:proofErr w:type="gramEnd"/>
      <w:r w:rsidRPr="000261B5">
        <w:rPr>
          <w:rFonts w:ascii="Times New Roman" w:hAnsi="Times New Roman"/>
          <w:sz w:val="28"/>
          <w:szCs w:val="28"/>
          <w:lang w:eastAsia="ru-RU"/>
        </w:rPr>
        <w:t>іоритетів</w:t>
      </w:r>
      <w:proofErr w:type="spellEnd"/>
      <w:r w:rsidRPr="000261B5">
        <w:rPr>
          <w:rFonts w:ascii="Times New Roman" w:hAnsi="Times New Roman"/>
          <w:sz w:val="28"/>
          <w:szCs w:val="28"/>
          <w:lang w:eastAsia="ru-RU"/>
        </w:rPr>
        <w:t xml:space="preserve">: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розширення можливостей реалізації права громадян на гідну працю, підвищення їх доходів шляхом зростання середньомісячної заробітної плати, покращення ситуації у сфері зайнятості населення та безробіття, створення нових робочих місць, збереження та розвитку трудового потенціалу;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підвищення стандартів життя, розвиток людського і соціального капіталу шляхом поліпшення якості та більшої доступності освіти і медичного обслуговування, підвищення дієвості і стабільності соціального захисту;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сприяння розвитку виробництва, впровадження новітніх </w:t>
      </w:r>
      <w:proofErr w:type="spellStart"/>
      <w:r w:rsidRPr="000261B5">
        <w:rPr>
          <w:rFonts w:ascii="Times New Roman" w:hAnsi="Times New Roman"/>
          <w:sz w:val="28"/>
          <w:szCs w:val="28"/>
          <w:lang w:val="uk-UA" w:eastAsia="ru-RU"/>
        </w:rPr>
        <w:t>енергоефективних</w:t>
      </w:r>
      <w:proofErr w:type="spellEnd"/>
      <w:r w:rsidRPr="000261B5">
        <w:rPr>
          <w:rFonts w:ascii="Times New Roman" w:hAnsi="Times New Roman"/>
          <w:sz w:val="28"/>
          <w:szCs w:val="28"/>
          <w:lang w:val="uk-UA" w:eastAsia="ru-RU"/>
        </w:rPr>
        <w:t xml:space="preserve"> технологій та енергозберігаючих заходів, нарощуванню експорту вітчизняних промислових товарів;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збереження позитивної тенденції нарощування темпів іноземних інвестицій, стимулювання інвестиційної діяльності у пріоритетних галузях економіки шляхом пріоритетного залучення інвесторів на засадах державно-приватного партнерства;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підвищення інвестиційної привабливості громади через презентації її можливостей на форумах, виставково-ярмаркових заходах, які проводяться в Україні;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створення сприятливих умов для розвитку підприємницької діяльності та поліпшення бізнес-клімату шляхом реалізації державної політики </w:t>
      </w:r>
      <w:r w:rsidRPr="000261B5">
        <w:rPr>
          <w:rFonts w:ascii="Times New Roman" w:hAnsi="Times New Roman"/>
          <w:sz w:val="28"/>
          <w:szCs w:val="28"/>
          <w:lang w:val="uk-UA" w:eastAsia="ru-RU"/>
        </w:rPr>
        <w:lastRenderedPageBreak/>
        <w:t xml:space="preserve">подальшого формування реальних механізмів підтримки малого та середнього підприємництва;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формування ефективної інфраструктури торговельного та побутового обслуговування населення;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покращення транспортного сполучення та розширення телекомунікаційних послуг;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забезпечення населення, підприємств, організацій якісними комунальними послугами, підвищення ефективності та надійності функціонування житлово-комунальних систем, впровадження нових енергозберігаючих технологій та обладнання, зниження рівня заборгованості у галузі житлово-комунального господарства;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впровадження енергозберігаючих заходів у закладах бюджетної сфери та житлово-комунального господарства, стимулювання раціонального використання енергоресурсів, запровадження енергозберігаючих технологій у галузях виробництва;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здійснення природоохоронних заходів щодо призупинення погіршення стану навколишнього природного середовища: зменшення викидів забруднюючих речовин в атмосферне повітря, скидів забруднюючих стоків у поверхневі водойми та поліпшення якості питної води, впорядкування поводження з твердими побутовими відходами;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 - забезпечення наповнюваності міського бюджету та залучення додаткових надходжень до нього, раціональне використання бюджетних коштів. </w:t>
      </w:r>
    </w:p>
    <w:p w:rsidR="000261B5" w:rsidRPr="000261B5" w:rsidRDefault="000261B5" w:rsidP="000261B5">
      <w:pPr>
        <w:spacing w:after="0" w:line="240" w:lineRule="auto"/>
        <w:jc w:val="center"/>
        <w:rPr>
          <w:rFonts w:ascii="Times New Roman" w:eastAsia="Times New Roman" w:hAnsi="Times New Roman"/>
          <w:sz w:val="28"/>
          <w:szCs w:val="28"/>
          <w:lang w:val="uk-UA" w:eastAsia="ar-SA"/>
        </w:rPr>
      </w:pPr>
    </w:p>
    <w:p w:rsidR="000261B5" w:rsidRPr="000261B5" w:rsidRDefault="000261B5" w:rsidP="000261B5">
      <w:pPr>
        <w:spacing w:after="0" w:line="240" w:lineRule="auto"/>
        <w:jc w:val="center"/>
        <w:rPr>
          <w:rFonts w:ascii="Times New Roman" w:eastAsia="Times New Roman" w:hAnsi="Times New Roman"/>
          <w:b/>
          <w:sz w:val="28"/>
          <w:szCs w:val="28"/>
          <w:lang w:val="uk-UA" w:eastAsia="ru-RU"/>
        </w:rPr>
      </w:pPr>
      <w:r w:rsidRPr="000261B5">
        <w:rPr>
          <w:rFonts w:ascii="Times New Roman" w:eastAsia="Times New Roman" w:hAnsi="Times New Roman"/>
          <w:b/>
          <w:sz w:val="28"/>
          <w:szCs w:val="28"/>
          <w:lang w:eastAsia="ru-RU"/>
        </w:rPr>
        <w:t>ОСНОВНІ ПОКАЗНИКИ</w:t>
      </w:r>
    </w:p>
    <w:p w:rsidR="000261B5" w:rsidRPr="000261B5" w:rsidRDefault="000261B5" w:rsidP="000261B5">
      <w:pPr>
        <w:spacing w:after="0" w:line="240" w:lineRule="auto"/>
        <w:jc w:val="center"/>
        <w:rPr>
          <w:rFonts w:ascii="Times New Roman" w:eastAsia="Times New Roman" w:hAnsi="Times New Roman"/>
          <w:b/>
          <w:sz w:val="28"/>
          <w:szCs w:val="28"/>
          <w:lang w:val="uk-UA" w:eastAsia="ru-RU"/>
        </w:rPr>
      </w:pPr>
      <w:r w:rsidRPr="000261B5">
        <w:rPr>
          <w:rFonts w:ascii="Times New Roman" w:eastAsia="Times New Roman" w:hAnsi="Times New Roman"/>
          <w:b/>
          <w:sz w:val="28"/>
          <w:szCs w:val="28"/>
          <w:lang w:eastAsia="ru-RU"/>
        </w:rPr>
        <w:t xml:space="preserve"> </w:t>
      </w:r>
      <w:proofErr w:type="spellStart"/>
      <w:r w:rsidRPr="000261B5">
        <w:rPr>
          <w:rFonts w:ascii="Times New Roman" w:eastAsia="Times New Roman" w:hAnsi="Times New Roman"/>
          <w:b/>
          <w:sz w:val="28"/>
          <w:szCs w:val="28"/>
          <w:lang w:eastAsia="ru-RU"/>
        </w:rPr>
        <w:t>економічного</w:t>
      </w:r>
      <w:proofErr w:type="spellEnd"/>
      <w:r w:rsidRPr="000261B5">
        <w:rPr>
          <w:rFonts w:ascii="Times New Roman" w:eastAsia="Times New Roman" w:hAnsi="Times New Roman"/>
          <w:b/>
          <w:sz w:val="28"/>
          <w:szCs w:val="28"/>
          <w:lang w:eastAsia="ru-RU"/>
        </w:rPr>
        <w:t xml:space="preserve"> і </w:t>
      </w:r>
      <w:proofErr w:type="spellStart"/>
      <w:proofErr w:type="gramStart"/>
      <w:r w:rsidRPr="000261B5">
        <w:rPr>
          <w:rFonts w:ascii="Times New Roman" w:eastAsia="Times New Roman" w:hAnsi="Times New Roman"/>
          <w:b/>
          <w:sz w:val="28"/>
          <w:szCs w:val="28"/>
          <w:lang w:eastAsia="ru-RU"/>
        </w:rPr>
        <w:t>соц</w:t>
      </w:r>
      <w:proofErr w:type="gramEnd"/>
      <w:r w:rsidRPr="000261B5">
        <w:rPr>
          <w:rFonts w:ascii="Times New Roman" w:eastAsia="Times New Roman" w:hAnsi="Times New Roman"/>
          <w:b/>
          <w:sz w:val="28"/>
          <w:szCs w:val="28"/>
          <w:lang w:eastAsia="ru-RU"/>
        </w:rPr>
        <w:t>іального</w:t>
      </w:r>
      <w:proofErr w:type="spellEnd"/>
      <w:r w:rsidRPr="000261B5">
        <w:rPr>
          <w:rFonts w:ascii="Times New Roman" w:eastAsia="Times New Roman" w:hAnsi="Times New Roman"/>
          <w:b/>
          <w:sz w:val="28"/>
          <w:szCs w:val="28"/>
          <w:lang w:eastAsia="ru-RU"/>
        </w:rPr>
        <w:t xml:space="preserve"> </w:t>
      </w:r>
      <w:proofErr w:type="spellStart"/>
      <w:r w:rsidRPr="000261B5">
        <w:rPr>
          <w:rFonts w:ascii="Times New Roman" w:eastAsia="Times New Roman" w:hAnsi="Times New Roman"/>
          <w:b/>
          <w:sz w:val="28"/>
          <w:szCs w:val="28"/>
          <w:lang w:eastAsia="ru-RU"/>
        </w:rPr>
        <w:t>розвитку</w:t>
      </w:r>
      <w:proofErr w:type="spellEnd"/>
      <w:r w:rsidRPr="000261B5">
        <w:rPr>
          <w:rFonts w:ascii="Times New Roman" w:eastAsia="Times New Roman" w:hAnsi="Times New Roman"/>
          <w:b/>
          <w:sz w:val="28"/>
          <w:szCs w:val="28"/>
          <w:lang w:eastAsia="ru-RU"/>
        </w:rPr>
        <w:t xml:space="preserve"> </w:t>
      </w:r>
    </w:p>
    <w:p w:rsidR="000261B5" w:rsidRPr="000261B5" w:rsidRDefault="000261B5" w:rsidP="000261B5">
      <w:pPr>
        <w:spacing w:after="0" w:line="240" w:lineRule="auto"/>
        <w:jc w:val="center"/>
        <w:rPr>
          <w:rFonts w:ascii="Times New Roman" w:eastAsia="Times New Roman" w:hAnsi="Times New Roman"/>
          <w:b/>
          <w:sz w:val="28"/>
          <w:szCs w:val="28"/>
          <w:lang w:val="uk-UA" w:eastAsia="ru-RU"/>
        </w:rPr>
      </w:pPr>
      <w:r w:rsidRPr="000261B5">
        <w:rPr>
          <w:rFonts w:ascii="Times New Roman" w:eastAsia="Times New Roman" w:hAnsi="Times New Roman"/>
          <w:b/>
          <w:sz w:val="28"/>
          <w:szCs w:val="28"/>
          <w:lang w:eastAsia="ru-RU"/>
        </w:rPr>
        <w:t xml:space="preserve">Новоукраїнської </w:t>
      </w:r>
      <w:r w:rsidRPr="000261B5">
        <w:rPr>
          <w:rFonts w:ascii="Times New Roman" w:eastAsia="Times New Roman" w:hAnsi="Times New Roman"/>
          <w:b/>
          <w:sz w:val="28"/>
          <w:szCs w:val="28"/>
          <w:lang w:val="uk-UA" w:eastAsia="ru-RU"/>
        </w:rPr>
        <w:t>міської територіальної громади</w:t>
      </w:r>
      <w:r w:rsidRPr="000261B5">
        <w:rPr>
          <w:rFonts w:ascii="Times New Roman" w:eastAsia="Times New Roman" w:hAnsi="Times New Roman"/>
          <w:b/>
          <w:sz w:val="28"/>
          <w:szCs w:val="28"/>
          <w:lang w:eastAsia="ru-RU"/>
        </w:rPr>
        <w:t xml:space="preserve"> на 202</w:t>
      </w:r>
      <w:r w:rsidRPr="000261B5">
        <w:rPr>
          <w:rFonts w:ascii="Times New Roman" w:eastAsia="Times New Roman" w:hAnsi="Times New Roman"/>
          <w:b/>
          <w:sz w:val="28"/>
          <w:szCs w:val="28"/>
          <w:lang w:val="uk-UA" w:eastAsia="ru-RU"/>
        </w:rPr>
        <w:t xml:space="preserve">2 </w:t>
      </w:r>
      <w:proofErr w:type="gramStart"/>
      <w:r w:rsidRPr="000261B5">
        <w:rPr>
          <w:rFonts w:ascii="Times New Roman" w:eastAsia="Times New Roman" w:hAnsi="Times New Roman"/>
          <w:b/>
          <w:sz w:val="28"/>
          <w:szCs w:val="28"/>
          <w:lang w:val="uk-UA" w:eastAsia="ru-RU"/>
        </w:rPr>
        <w:t>р</w:t>
      </w:r>
      <w:proofErr w:type="gramEnd"/>
      <w:r w:rsidRPr="000261B5">
        <w:rPr>
          <w:rFonts w:ascii="Times New Roman" w:eastAsia="Times New Roman" w:hAnsi="Times New Roman"/>
          <w:b/>
          <w:sz w:val="28"/>
          <w:szCs w:val="28"/>
          <w:lang w:val="uk-UA" w:eastAsia="ru-RU"/>
        </w:rPr>
        <w:t>ік</w:t>
      </w:r>
    </w:p>
    <w:p w:rsidR="000261B5" w:rsidRPr="000261B5" w:rsidRDefault="000261B5" w:rsidP="000261B5">
      <w:pPr>
        <w:spacing w:after="0" w:line="240" w:lineRule="auto"/>
        <w:jc w:val="center"/>
        <w:rPr>
          <w:rFonts w:ascii="Times New Roman" w:eastAsia="Times New Roman" w:hAnsi="Times New Roman"/>
          <w:sz w:val="28"/>
          <w:szCs w:val="28"/>
          <w:lang w:val="uk-UA" w:eastAsia="ru-RU"/>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328"/>
        <w:gridCol w:w="1420"/>
        <w:gridCol w:w="1559"/>
        <w:gridCol w:w="1439"/>
      </w:tblGrid>
      <w:tr w:rsidR="000261B5" w:rsidRPr="000261B5" w:rsidTr="000261B5">
        <w:tc>
          <w:tcPr>
            <w:tcW w:w="74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 з/п</w:t>
            </w:r>
          </w:p>
        </w:tc>
        <w:tc>
          <w:tcPr>
            <w:tcW w:w="4328"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Показник</w:t>
            </w:r>
          </w:p>
        </w:tc>
        <w:tc>
          <w:tcPr>
            <w:tcW w:w="142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2020 рік, факт.</w:t>
            </w:r>
          </w:p>
        </w:tc>
        <w:tc>
          <w:tcPr>
            <w:tcW w:w="155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 xml:space="preserve">2021 рік, </w:t>
            </w:r>
            <w:proofErr w:type="spellStart"/>
            <w:r w:rsidRPr="000261B5">
              <w:rPr>
                <w:rFonts w:ascii="Times New Roman" w:eastAsia="Times New Roman" w:hAnsi="Times New Roman"/>
                <w:sz w:val="28"/>
                <w:szCs w:val="28"/>
                <w:lang w:val="uk-UA" w:eastAsia="ru-RU"/>
              </w:rPr>
              <w:t>очікув</w:t>
            </w:r>
            <w:proofErr w:type="spellEnd"/>
            <w:r w:rsidRPr="000261B5">
              <w:rPr>
                <w:rFonts w:ascii="Times New Roman" w:eastAsia="Times New Roman" w:hAnsi="Times New Roman"/>
                <w:sz w:val="28"/>
                <w:szCs w:val="28"/>
                <w:lang w:val="uk-UA" w:eastAsia="ru-RU"/>
              </w:rPr>
              <w:t>.</w:t>
            </w:r>
          </w:p>
        </w:tc>
        <w:tc>
          <w:tcPr>
            <w:tcW w:w="143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2022 рік, прогноз</w:t>
            </w:r>
          </w:p>
        </w:tc>
      </w:tr>
      <w:tr w:rsidR="000261B5" w:rsidRPr="000261B5" w:rsidTr="000261B5">
        <w:tc>
          <w:tcPr>
            <w:tcW w:w="74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w:t>
            </w:r>
          </w:p>
        </w:tc>
        <w:tc>
          <w:tcPr>
            <w:tcW w:w="4328"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2</w:t>
            </w:r>
          </w:p>
        </w:tc>
        <w:tc>
          <w:tcPr>
            <w:tcW w:w="142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3</w:t>
            </w:r>
          </w:p>
        </w:tc>
        <w:tc>
          <w:tcPr>
            <w:tcW w:w="155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4</w:t>
            </w:r>
          </w:p>
        </w:tc>
        <w:tc>
          <w:tcPr>
            <w:tcW w:w="143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5</w:t>
            </w:r>
          </w:p>
        </w:tc>
      </w:tr>
      <w:tr w:rsidR="000261B5" w:rsidRPr="000261B5" w:rsidTr="000261B5">
        <w:tc>
          <w:tcPr>
            <w:tcW w:w="74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w:t>
            </w:r>
          </w:p>
        </w:tc>
        <w:tc>
          <w:tcPr>
            <w:tcW w:w="4328"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 xml:space="preserve">Обсяг реалізованої промислової продукції  у відпускних цінах підприємств, </w:t>
            </w:r>
            <w:proofErr w:type="spellStart"/>
            <w:r w:rsidRPr="000261B5">
              <w:rPr>
                <w:rFonts w:ascii="Times New Roman" w:eastAsia="Times New Roman" w:hAnsi="Times New Roman"/>
                <w:sz w:val="28"/>
                <w:szCs w:val="28"/>
                <w:lang w:val="uk-UA" w:eastAsia="ru-RU"/>
              </w:rPr>
              <w:t>млн.грн</w:t>
            </w:r>
            <w:proofErr w:type="spellEnd"/>
            <w:r w:rsidRPr="000261B5">
              <w:rPr>
                <w:rFonts w:ascii="Times New Roman" w:eastAsia="Times New Roman" w:hAnsi="Times New Roman"/>
                <w:sz w:val="28"/>
                <w:szCs w:val="28"/>
                <w:lang w:val="uk-UA" w:eastAsia="ru-RU"/>
              </w:rPr>
              <w:t>.</w:t>
            </w:r>
          </w:p>
        </w:tc>
        <w:tc>
          <w:tcPr>
            <w:tcW w:w="142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266,3</w:t>
            </w:r>
          </w:p>
        </w:tc>
        <w:tc>
          <w:tcPr>
            <w:tcW w:w="155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225,7</w:t>
            </w:r>
          </w:p>
        </w:tc>
        <w:tc>
          <w:tcPr>
            <w:tcW w:w="143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235,5</w:t>
            </w:r>
          </w:p>
        </w:tc>
      </w:tr>
      <w:tr w:rsidR="000261B5" w:rsidRPr="000261B5" w:rsidTr="000261B5">
        <w:tc>
          <w:tcPr>
            <w:tcW w:w="74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2.</w:t>
            </w:r>
          </w:p>
        </w:tc>
        <w:tc>
          <w:tcPr>
            <w:tcW w:w="4328"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 xml:space="preserve">Обсяг виробництва промислової продукції, </w:t>
            </w:r>
            <w:proofErr w:type="spellStart"/>
            <w:r w:rsidRPr="000261B5">
              <w:rPr>
                <w:rFonts w:ascii="Times New Roman" w:eastAsia="Times New Roman" w:hAnsi="Times New Roman"/>
                <w:sz w:val="28"/>
                <w:szCs w:val="28"/>
                <w:lang w:val="uk-UA" w:eastAsia="ru-RU"/>
              </w:rPr>
              <w:t>млн.грн</w:t>
            </w:r>
            <w:proofErr w:type="spellEnd"/>
            <w:r w:rsidRPr="000261B5">
              <w:rPr>
                <w:rFonts w:ascii="Times New Roman" w:eastAsia="Times New Roman" w:hAnsi="Times New Roman"/>
                <w:sz w:val="28"/>
                <w:szCs w:val="28"/>
                <w:lang w:val="uk-UA" w:eastAsia="ru-RU"/>
              </w:rPr>
              <w:t>.</w:t>
            </w:r>
          </w:p>
        </w:tc>
        <w:tc>
          <w:tcPr>
            <w:tcW w:w="142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113,6</w:t>
            </w:r>
          </w:p>
        </w:tc>
        <w:tc>
          <w:tcPr>
            <w:tcW w:w="155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115,1</w:t>
            </w:r>
          </w:p>
        </w:tc>
        <w:tc>
          <w:tcPr>
            <w:tcW w:w="143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118,0</w:t>
            </w:r>
          </w:p>
        </w:tc>
      </w:tr>
      <w:tr w:rsidR="000261B5" w:rsidRPr="000261B5" w:rsidTr="000261B5">
        <w:tc>
          <w:tcPr>
            <w:tcW w:w="74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3.</w:t>
            </w:r>
          </w:p>
        </w:tc>
        <w:tc>
          <w:tcPr>
            <w:tcW w:w="4328"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Індекс промислової продукції, усього,</w:t>
            </w:r>
          </w:p>
          <w:p w:rsidR="000261B5" w:rsidRPr="000261B5" w:rsidRDefault="000261B5" w:rsidP="000261B5">
            <w:pPr>
              <w:spacing w:after="0" w:line="240" w:lineRule="auto"/>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 до попереднього року</w:t>
            </w:r>
          </w:p>
        </w:tc>
        <w:tc>
          <w:tcPr>
            <w:tcW w:w="142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134,4</w:t>
            </w:r>
          </w:p>
        </w:tc>
        <w:tc>
          <w:tcPr>
            <w:tcW w:w="155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101,3</w:t>
            </w:r>
          </w:p>
        </w:tc>
        <w:tc>
          <w:tcPr>
            <w:tcW w:w="143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102,5</w:t>
            </w:r>
          </w:p>
        </w:tc>
      </w:tr>
      <w:tr w:rsidR="000261B5" w:rsidRPr="000261B5" w:rsidTr="000261B5">
        <w:tc>
          <w:tcPr>
            <w:tcW w:w="74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4.</w:t>
            </w:r>
          </w:p>
        </w:tc>
        <w:tc>
          <w:tcPr>
            <w:tcW w:w="4328"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 xml:space="preserve">Валова продукція сільського господарства в усіх категоріях господарств у цінах 2010 року, усього, </w:t>
            </w:r>
            <w:proofErr w:type="spellStart"/>
            <w:r w:rsidRPr="000261B5">
              <w:rPr>
                <w:rFonts w:ascii="Times New Roman" w:eastAsia="Times New Roman" w:hAnsi="Times New Roman"/>
                <w:sz w:val="28"/>
                <w:szCs w:val="28"/>
                <w:lang w:val="uk-UA" w:eastAsia="ru-RU"/>
              </w:rPr>
              <w:t>млн.грн</w:t>
            </w:r>
            <w:proofErr w:type="spellEnd"/>
            <w:r w:rsidRPr="000261B5">
              <w:rPr>
                <w:rFonts w:ascii="Times New Roman" w:eastAsia="Times New Roman" w:hAnsi="Times New Roman"/>
                <w:sz w:val="28"/>
                <w:szCs w:val="28"/>
                <w:lang w:val="uk-UA" w:eastAsia="ru-RU"/>
              </w:rPr>
              <w:t>.</w:t>
            </w:r>
          </w:p>
        </w:tc>
        <w:tc>
          <w:tcPr>
            <w:tcW w:w="142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173,8</w:t>
            </w:r>
          </w:p>
        </w:tc>
        <w:tc>
          <w:tcPr>
            <w:tcW w:w="155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178,1</w:t>
            </w:r>
          </w:p>
        </w:tc>
        <w:tc>
          <w:tcPr>
            <w:tcW w:w="143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185,5</w:t>
            </w:r>
          </w:p>
        </w:tc>
      </w:tr>
      <w:tr w:rsidR="000261B5" w:rsidRPr="000261B5" w:rsidTr="000261B5">
        <w:tc>
          <w:tcPr>
            <w:tcW w:w="74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5.</w:t>
            </w:r>
          </w:p>
        </w:tc>
        <w:tc>
          <w:tcPr>
            <w:tcW w:w="4328"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 xml:space="preserve">Індекс сільськогосподарської продукції в усіх категоріях господарств, у % до попереднього </w:t>
            </w:r>
            <w:r w:rsidRPr="000261B5">
              <w:rPr>
                <w:rFonts w:ascii="Times New Roman" w:eastAsia="Times New Roman" w:hAnsi="Times New Roman"/>
                <w:sz w:val="28"/>
                <w:szCs w:val="28"/>
                <w:lang w:val="uk-UA" w:eastAsia="ru-RU"/>
              </w:rPr>
              <w:lastRenderedPageBreak/>
              <w:t>року</w:t>
            </w:r>
          </w:p>
        </w:tc>
        <w:tc>
          <w:tcPr>
            <w:tcW w:w="142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lastRenderedPageBreak/>
              <w:t>111,6</w:t>
            </w:r>
          </w:p>
        </w:tc>
        <w:tc>
          <w:tcPr>
            <w:tcW w:w="155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102,5</w:t>
            </w:r>
          </w:p>
        </w:tc>
        <w:tc>
          <w:tcPr>
            <w:tcW w:w="143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104,2</w:t>
            </w:r>
          </w:p>
        </w:tc>
      </w:tr>
      <w:tr w:rsidR="000261B5" w:rsidRPr="000261B5" w:rsidTr="000261B5">
        <w:tc>
          <w:tcPr>
            <w:tcW w:w="74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lastRenderedPageBreak/>
              <w:t>6.</w:t>
            </w:r>
          </w:p>
        </w:tc>
        <w:tc>
          <w:tcPr>
            <w:tcW w:w="4328"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Чисельність населення, осіб</w:t>
            </w:r>
          </w:p>
        </w:tc>
        <w:tc>
          <w:tcPr>
            <w:tcW w:w="142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20010</w:t>
            </w:r>
          </w:p>
        </w:tc>
        <w:tc>
          <w:tcPr>
            <w:tcW w:w="155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20010</w:t>
            </w:r>
          </w:p>
        </w:tc>
        <w:tc>
          <w:tcPr>
            <w:tcW w:w="143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20000</w:t>
            </w:r>
          </w:p>
        </w:tc>
      </w:tr>
      <w:tr w:rsidR="000261B5" w:rsidRPr="000261B5" w:rsidTr="000261B5">
        <w:tc>
          <w:tcPr>
            <w:tcW w:w="74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7.</w:t>
            </w:r>
          </w:p>
        </w:tc>
        <w:tc>
          <w:tcPr>
            <w:tcW w:w="4328"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Кількість підприємств малого та середнього бізнесу на 1000 осіб наявного населення</w:t>
            </w:r>
          </w:p>
        </w:tc>
        <w:tc>
          <w:tcPr>
            <w:tcW w:w="142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52</w:t>
            </w:r>
          </w:p>
        </w:tc>
        <w:tc>
          <w:tcPr>
            <w:tcW w:w="155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53</w:t>
            </w:r>
          </w:p>
        </w:tc>
        <w:tc>
          <w:tcPr>
            <w:tcW w:w="143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54</w:t>
            </w:r>
          </w:p>
        </w:tc>
      </w:tr>
      <w:tr w:rsidR="000261B5" w:rsidRPr="000261B5" w:rsidTr="000261B5">
        <w:tc>
          <w:tcPr>
            <w:tcW w:w="74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8.</w:t>
            </w:r>
          </w:p>
        </w:tc>
        <w:tc>
          <w:tcPr>
            <w:tcW w:w="4328"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Доходи бюджету територіальної громади  на 1 особу, грн.</w:t>
            </w:r>
          </w:p>
        </w:tc>
        <w:tc>
          <w:tcPr>
            <w:tcW w:w="142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7747</w:t>
            </w:r>
          </w:p>
        </w:tc>
        <w:tc>
          <w:tcPr>
            <w:tcW w:w="155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8761</w:t>
            </w:r>
          </w:p>
        </w:tc>
        <w:tc>
          <w:tcPr>
            <w:tcW w:w="143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9409</w:t>
            </w:r>
          </w:p>
        </w:tc>
      </w:tr>
      <w:tr w:rsidR="000261B5" w:rsidRPr="000261B5" w:rsidTr="000261B5">
        <w:tc>
          <w:tcPr>
            <w:tcW w:w="74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9.</w:t>
            </w:r>
          </w:p>
        </w:tc>
        <w:tc>
          <w:tcPr>
            <w:tcW w:w="4328"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Темп зростання доходів місцевого бюджету, % до попереднього року</w:t>
            </w:r>
          </w:p>
        </w:tc>
        <w:tc>
          <w:tcPr>
            <w:tcW w:w="142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90,4</w:t>
            </w:r>
          </w:p>
        </w:tc>
        <w:tc>
          <w:tcPr>
            <w:tcW w:w="155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113,5</w:t>
            </w:r>
          </w:p>
        </w:tc>
        <w:tc>
          <w:tcPr>
            <w:tcW w:w="143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en-US" w:eastAsia="ru-RU"/>
              </w:rPr>
              <w:t xml:space="preserve"> </w:t>
            </w:r>
            <w:r w:rsidRPr="000261B5">
              <w:rPr>
                <w:rFonts w:ascii="Times New Roman" w:eastAsia="Times New Roman" w:hAnsi="Times New Roman"/>
                <w:sz w:val="28"/>
                <w:szCs w:val="28"/>
                <w:lang w:val="uk-UA" w:eastAsia="ru-RU"/>
              </w:rPr>
              <w:t>107,4</w:t>
            </w:r>
          </w:p>
        </w:tc>
      </w:tr>
      <w:tr w:rsidR="000261B5" w:rsidRPr="000261B5" w:rsidTr="000261B5">
        <w:tc>
          <w:tcPr>
            <w:tcW w:w="74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10.</w:t>
            </w:r>
          </w:p>
        </w:tc>
        <w:tc>
          <w:tcPr>
            <w:tcW w:w="4328"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Середньомісячна заробітна плата штатних працівників, грн.</w:t>
            </w:r>
          </w:p>
        </w:tc>
        <w:tc>
          <w:tcPr>
            <w:tcW w:w="142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9794</w:t>
            </w:r>
          </w:p>
        </w:tc>
        <w:tc>
          <w:tcPr>
            <w:tcW w:w="155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9872</w:t>
            </w:r>
          </w:p>
        </w:tc>
        <w:tc>
          <w:tcPr>
            <w:tcW w:w="143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10370</w:t>
            </w:r>
          </w:p>
        </w:tc>
      </w:tr>
      <w:tr w:rsidR="000261B5" w:rsidRPr="000261B5" w:rsidTr="000261B5">
        <w:tc>
          <w:tcPr>
            <w:tcW w:w="74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11.</w:t>
            </w:r>
          </w:p>
        </w:tc>
        <w:tc>
          <w:tcPr>
            <w:tcW w:w="4328"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 xml:space="preserve">Працевлаштовано громадян на нові робочі місця та тимчасові робочі місця, осіб </w:t>
            </w:r>
          </w:p>
        </w:tc>
        <w:tc>
          <w:tcPr>
            <w:tcW w:w="142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146</w:t>
            </w:r>
          </w:p>
        </w:tc>
        <w:tc>
          <w:tcPr>
            <w:tcW w:w="155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160</w:t>
            </w:r>
          </w:p>
        </w:tc>
        <w:tc>
          <w:tcPr>
            <w:tcW w:w="1439"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spacing w:after="0" w:line="240" w:lineRule="auto"/>
              <w:jc w:val="center"/>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175</w:t>
            </w:r>
          </w:p>
        </w:tc>
      </w:tr>
    </w:tbl>
    <w:p w:rsidR="000261B5" w:rsidRPr="000261B5" w:rsidRDefault="000261B5" w:rsidP="000261B5">
      <w:pPr>
        <w:tabs>
          <w:tab w:val="left" w:pos="1860"/>
        </w:tabs>
        <w:spacing w:after="0" w:line="240" w:lineRule="auto"/>
        <w:jc w:val="both"/>
        <w:rPr>
          <w:rFonts w:ascii="Times New Roman" w:hAnsi="Times New Roman"/>
          <w:color w:val="FF0000"/>
          <w:sz w:val="28"/>
          <w:szCs w:val="28"/>
          <w:lang w:val="uk-UA" w:eastAsia="ru-RU"/>
        </w:rPr>
      </w:pPr>
    </w:p>
    <w:p w:rsidR="000261B5" w:rsidRPr="000261B5" w:rsidRDefault="000261B5" w:rsidP="000261B5">
      <w:pPr>
        <w:tabs>
          <w:tab w:val="left" w:pos="1860"/>
        </w:tabs>
        <w:spacing w:after="0" w:line="240" w:lineRule="auto"/>
        <w:ind w:firstLine="709"/>
        <w:jc w:val="center"/>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ind w:firstLine="709"/>
        <w:jc w:val="center"/>
        <w:rPr>
          <w:rFonts w:ascii="Times New Roman" w:hAnsi="Times New Roman"/>
          <w:b/>
          <w:sz w:val="28"/>
          <w:szCs w:val="28"/>
          <w:lang w:val="uk-UA" w:eastAsia="ru-RU"/>
        </w:rPr>
      </w:pPr>
      <w:r w:rsidRPr="000261B5">
        <w:rPr>
          <w:rFonts w:ascii="Times New Roman" w:hAnsi="Times New Roman"/>
          <w:b/>
          <w:sz w:val="28"/>
          <w:szCs w:val="28"/>
          <w:lang w:val="uk-UA" w:eastAsia="ru-RU"/>
        </w:rPr>
        <w:t>ІІІ. Загальні показники бюджету</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Прогноз бюджету на 2022-2024 роки включає прогнозні показники бюджету громади за основними видами доходів, фінансування, видатків і кредитування, а також прогнозні показники за бюджетними програмами, які забезпечують протягом декількох років виконання інвестиційних проектів.</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Зазначені показники є основою для складання головними розпорядниками бюджетних коштів планів своєї діяльності, місцевих програм та формування показників проекту бюджету міської територіальної громади на 2022 рік.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Формування проекту бюджету на відповідний рік здійснюватиметься з урахуванням змін основних прогнозних показників економічного і соціального розвитку громади, а також змін у нормативно-правовій базі.</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Обсяг ресурсу бюджету Новоукраїнської міської територіальної громади на 2022-2024 роки прогнозується в обсягах 192369726 грн., 201722509 грн. та 207892682 грн. відповідно. У </w:t>
      </w:r>
      <w:proofErr w:type="spellStart"/>
      <w:r w:rsidRPr="000261B5">
        <w:rPr>
          <w:rFonts w:ascii="Times New Roman" w:hAnsi="Times New Roman"/>
          <w:sz w:val="28"/>
          <w:szCs w:val="28"/>
          <w:lang w:val="uk-UA" w:eastAsia="ru-RU"/>
        </w:rPr>
        <w:t>співставних</w:t>
      </w:r>
      <w:proofErr w:type="spellEnd"/>
      <w:r w:rsidRPr="000261B5">
        <w:rPr>
          <w:rFonts w:ascii="Times New Roman" w:hAnsi="Times New Roman"/>
          <w:sz w:val="28"/>
          <w:szCs w:val="28"/>
          <w:lang w:val="uk-UA" w:eastAsia="ru-RU"/>
        </w:rPr>
        <w:t xml:space="preserve"> умовах середньорічний темп росту надходжень та витрат складає 2,8 %. Загальні показники надходжень до бюджету та граничні показники видатків бюджету та надання кредитів з бюджету у розрізі років середньострокового періоду наведені у додатку 1 до проекту прогнозу бюджету.</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Зазначаємо, що прогноз бюджету Новоукраїнської міської територіальної громади на 2021 – 2023 роки не складався фінансовим управлінням, не схвалювався виконавчим органом міської ради та не подавався до міської ради відповідно до листа Міністерства фінансів України від 17 квітня 2020 року №05110-14-6/11536 "Про зміни до Закону України "Про Державний бюджет України на 2020 рік"" в якому зазначалося, що у 2020 році  Бюджетна декларація на 2021 – 2023 роки, з урахуванням якої мали формуватися прогнози місцевих бюджетів, не складалася.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r w:rsidRPr="000261B5">
        <w:rPr>
          <w:rFonts w:ascii="Times New Roman" w:hAnsi="Times New Roman"/>
          <w:b/>
          <w:sz w:val="28"/>
          <w:szCs w:val="28"/>
          <w:lang w:val="uk-UA" w:eastAsia="ru-RU"/>
        </w:rPr>
        <w:lastRenderedPageBreak/>
        <w:t>ІV. Показники доходів бюджету</w:t>
      </w: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Прогноз дохідної частини бюджету громади розроблено відповідно до норм бюджетно-податкового законодавства, основних прогнозних </w:t>
      </w:r>
      <w:proofErr w:type="spellStart"/>
      <w:r w:rsidRPr="000261B5">
        <w:rPr>
          <w:rFonts w:ascii="Times New Roman" w:hAnsi="Times New Roman"/>
          <w:sz w:val="28"/>
          <w:szCs w:val="28"/>
          <w:lang w:val="uk-UA" w:eastAsia="ru-RU"/>
        </w:rPr>
        <w:t>макропоказників</w:t>
      </w:r>
      <w:proofErr w:type="spellEnd"/>
      <w:r w:rsidRPr="000261B5">
        <w:rPr>
          <w:rFonts w:ascii="Times New Roman" w:hAnsi="Times New Roman"/>
          <w:sz w:val="28"/>
          <w:szCs w:val="28"/>
          <w:lang w:val="uk-UA" w:eastAsia="ru-RU"/>
        </w:rPr>
        <w:t xml:space="preserve"> економічного і соціального розвитку України та громади, особливостей податкової політики, передбачених Бюджетною декларацією на 2022-2024 роки, положень нормативно-правових актів міської ради про встановлення місцевих податків і зборів.</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З метою розширення податкової бази та залучення додаткових надходжень до бюджету громади визначено такі пріоритетні завдання: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сприяння розвитку бюджетоутворюючих підприємств, розширенню діючих виробничих потужностей, збільшенню виробництва сільськогосподарської продукції;</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поліпшення економічних, правових та організаційних умов для залучення інвестиційних ресурсів та </w:t>
      </w:r>
      <w:proofErr w:type="spellStart"/>
      <w:r w:rsidRPr="000261B5">
        <w:rPr>
          <w:rFonts w:ascii="Times New Roman" w:hAnsi="Times New Roman"/>
          <w:sz w:val="28"/>
          <w:szCs w:val="28"/>
          <w:lang w:val="uk-UA" w:eastAsia="ru-RU"/>
        </w:rPr>
        <w:t>задіяння</w:t>
      </w:r>
      <w:proofErr w:type="spellEnd"/>
      <w:r w:rsidRPr="000261B5">
        <w:rPr>
          <w:rFonts w:ascii="Times New Roman" w:hAnsi="Times New Roman"/>
          <w:sz w:val="28"/>
          <w:szCs w:val="28"/>
          <w:lang w:val="uk-UA" w:eastAsia="ru-RU"/>
        </w:rPr>
        <w:t xml:space="preserve"> земельного потенціалу громади.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Для виконання пріоритетних завдань передбачається здійснити наступні заходи: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створити щорічно до 240 нових робочих місць, провести в установленому порядку перевірки фінансово-господарської діяльності суб’єктів господарювання щодо дотримання норм законодавства в частині оплати праці у розмірі не менше мінімальної заробітної плати. Очікуваний результат </w:t>
      </w:r>
      <w:proofErr w:type="spellStart"/>
      <w:r w:rsidRPr="000261B5">
        <w:rPr>
          <w:rFonts w:ascii="Times New Roman" w:hAnsi="Times New Roman"/>
          <w:sz w:val="28"/>
          <w:szCs w:val="28"/>
          <w:lang w:val="uk-UA" w:eastAsia="ru-RU"/>
        </w:rPr>
        <w:t>–підвищення</w:t>
      </w:r>
      <w:proofErr w:type="spellEnd"/>
      <w:r w:rsidRPr="000261B5">
        <w:rPr>
          <w:rFonts w:ascii="Times New Roman" w:hAnsi="Times New Roman"/>
          <w:sz w:val="28"/>
          <w:szCs w:val="28"/>
          <w:lang w:val="uk-UA" w:eastAsia="ru-RU"/>
        </w:rPr>
        <w:t xml:space="preserve"> рівня зайнятості та соціального забезпечення населення, зростання надходжень податку на доходи фізичних осіб;</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провести інвентаризацію земельних ділянок, перегляд укладених договорів оренди земельних ділянок на предмет відповідності розміру орендної плати нормам Податкового кодексу України, що забезпечить </w:t>
      </w:r>
      <w:proofErr w:type="spellStart"/>
      <w:r w:rsidRPr="000261B5">
        <w:rPr>
          <w:rFonts w:ascii="Times New Roman" w:hAnsi="Times New Roman"/>
          <w:sz w:val="28"/>
          <w:szCs w:val="28"/>
          <w:lang w:val="uk-UA" w:eastAsia="ru-RU"/>
        </w:rPr>
        <w:t>задіяння</w:t>
      </w:r>
      <w:proofErr w:type="spellEnd"/>
      <w:r w:rsidRPr="000261B5">
        <w:rPr>
          <w:rFonts w:ascii="Times New Roman" w:hAnsi="Times New Roman"/>
          <w:sz w:val="28"/>
          <w:szCs w:val="28"/>
          <w:lang w:val="uk-UA" w:eastAsia="ru-RU"/>
        </w:rPr>
        <w:t xml:space="preserve"> земельного потенціалу громади для залучення інвестицій, збільшення надходжень плати за землю;</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організація реєстрації фізичних осіб-підприємців у доступній формі та у найкоротші терміни, що очікувано розширить сфери діяльності малого бізнесу, збільшить надходження єдиного податку;</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проводити моніторинг податкового боргу платників податків до бюджету та претензійно-позовну роботу щодо його зменшення.</w:t>
      </w:r>
    </w:p>
    <w:p w:rsidR="000261B5" w:rsidRPr="000261B5" w:rsidRDefault="000261B5" w:rsidP="000261B5">
      <w:pPr>
        <w:tabs>
          <w:tab w:val="left" w:pos="1860"/>
        </w:tabs>
        <w:spacing w:after="0" w:line="240" w:lineRule="auto"/>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Прогнозні показники доходів бюджету сформовані на основі існуючої податкової бази та реалізації пріоритетних завдань із розширення її потенціалу. Показники доходів бюджету громади наведені в додатку 2 до прогнозу бюджету.</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В структурі доходів найбільшу частку становитимуть податкові та неподаткові надходження – 68,1 %; міжбюджетні трансферти – 31,9 %.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Основним джерелом формування дохідної частини бюджету громади, як і в попередні періоди, залишатиметься податок на доходи фізичних осіб, що сплачується податковими агентами із доходів платника податку у вигляді заробітної плати, та податок на доходи фізичних осіб з грошового забезпечення, грошових винагород, одержаних військовослужбовцями, та інших виплат.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Прогноз надходжень з податку на доходи фізичних осіб розраховано відповідно до єдиної ставки (18 %) оподаткування доходів фізичних осіб, </w:t>
      </w:r>
      <w:r w:rsidRPr="000261B5">
        <w:rPr>
          <w:rFonts w:ascii="Times New Roman" w:hAnsi="Times New Roman"/>
          <w:sz w:val="28"/>
          <w:szCs w:val="28"/>
          <w:lang w:val="uk-UA" w:eastAsia="ru-RU"/>
        </w:rPr>
        <w:lastRenderedPageBreak/>
        <w:t xml:space="preserve">сталого підвищення мінімальної заробітної плати та прожиткового мінімуму, подальшого зростання середньомісячної заробітної плати найманих працівників шляхом збільшення продуктивності праці, легалізації виплати заробітної плати.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Темпи росту податку на доходи фізичних осіб прогнозуються у 2022 році на рівні 0,5 %, у 2023 році – на 4,5% та у 2024 році – на 5,0 %, у зв'язку з невиконанням планових показників за 1 півріччя 2021 року на 11,6 %.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Єдиний податок – це другий бюджетоутворюючий податок. Прогнозний обсяг єдиного податку на 2022-2024 роки розраховано з урахуванням положень Податкового кодексу України, фактичних надходжень, кількості платників, за ставками, встановленими рішенням Новоукраїнської міської ради від 15 червня 2021 року № 300. У 2022 році прогнозується зменшення надходжень єдиного податку на 7,5 %, у зв'язку з невиконанням планових показників за 1 півріччя 2021 року на 17,9 %.  Темпи росту єдиного податку прогнозуються у 2023 році – на 0,7 % та у 2024 році – на 0,2 %.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Податок на нерухоме майно, відмінне від земельної ділянки на 2022-20224 роки прогнозуються з урахуванням темпів зростання мінімальної заробітної плати. </w:t>
      </w:r>
    </w:p>
    <w:p w:rsidR="000261B5" w:rsidRPr="000261B5" w:rsidRDefault="000261B5" w:rsidP="000261B5">
      <w:pPr>
        <w:tabs>
          <w:tab w:val="left" w:pos="1860"/>
        </w:tabs>
        <w:spacing w:after="0" w:line="240" w:lineRule="auto"/>
        <w:ind w:firstLine="709"/>
        <w:jc w:val="both"/>
        <w:rPr>
          <w:rFonts w:ascii="Times New Roman" w:hAnsi="Times New Roman"/>
          <w:sz w:val="28"/>
          <w:szCs w:val="28"/>
          <w:highlight w:val="yellow"/>
          <w:lang w:val="uk-UA" w:eastAsia="ru-RU"/>
        </w:rPr>
      </w:pPr>
      <w:r w:rsidRPr="000261B5">
        <w:rPr>
          <w:rFonts w:ascii="Times New Roman" w:hAnsi="Times New Roman"/>
          <w:sz w:val="28"/>
          <w:szCs w:val="28"/>
          <w:lang w:val="uk-UA" w:eastAsia="ru-RU"/>
        </w:rPr>
        <w:t xml:space="preserve">Розрахунок прогнозної суми плати за землю на 2022-2024 роки проведено за підсумками фактичних надходжень за попередні роки, за ставками, визначеними рішеннями міської ради, щодо земельного податку (від 15 червня 2021 року № 300), з урахуванням перегляду договорів оренди земельних ділянок в частині збільшення розміру орендної плати, поновлення строку дії договорів оренди, прийняття рішень про встановлення факту користування земельною ділянкою без оформлення </w:t>
      </w:r>
      <w:proofErr w:type="spellStart"/>
      <w:r w:rsidRPr="000261B5">
        <w:rPr>
          <w:rFonts w:ascii="Times New Roman" w:hAnsi="Times New Roman"/>
          <w:sz w:val="28"/>
          <w:szCs w:val="28"/>
          <w:lang w:val="uk-UA" w:eastAsia="ru-RU"/>
        </w:rPr>
        <w:t>правовстановлювальних</w:t>
      </w:r>
      <w:proofErr w:type="spellEnd"/>
      <w:r w:rsidRPr="000261B5">
        <w:rPr>
          <w:rFonts w:ascii="Times New Roman" w:hAnsi="Times New Roman"/>
          <w:sz w:val="28"/>
          <w:szCs w:val="28"/>
          <w:lang w:val="uk-UA" w:eastAsia="ru-RU"/>
        </w:rPr>
        <w:t xml:space="preserve"> документів, погашення податкового боргу, а також застосування з 2021 року нової нормативної грошової оцінки земель населених пунктів та інших земель несільськогосподарського призначення відповідно до вимог Податкового кодексу України. Темпи росту плати за землю прогнозуються у 2022 році на рівні 30 %, у 2023 році – на 0,1 %, у 2024 році – на 0 %.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Прогнозні надходження акцизного податку на 2022-2024 роки розраховані виходячи з фактичних надходжень, розширення бази оподаткування, за ставкою 5 % в частині акцизного податку з реалізації суб'єктами господарювання роздрібної торгівлі підакцизних товарів (пива, алкогольних напоїв, тютюнових виробів, тютюну та промислових замінників тютюну) та з урахуванням вимог діючого законодавства щодо спрямування частини акцизного податку з виробленого в Україні та ввезеного на митну територію України пального в розмірі 13,44 відсотка до бюджетів територіальних громад. Темпи росту акцизного податку прогнозуються у 2022 році на рівні 4,1 %, у 2023 році – на 0,1 % та у 2024 році – на 0,2 %.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Впровадження послідовної та передбачуваної податкової політики на території громади в середньостроковому періоді дозволить забезпечити: </w:t>
      </w:r>
    </w:p>
    <w:p w:rsidR="000261B5" w:rsidRPr="000261B5" w:rsidRDefault="000261B5" w:rsidP="000261B5">
      <w:pPr>
        <w:tabs>
          <w:tab w:val="left" w:pos="1860"/>
        </w:tabs>
        <w:spacing w:after="0" w:line="240" w:lineRule="auto"/>
        <w:ind w:firstLine="709"/>
        <w:rPr>
          <w:rFonts w:ascii="Times New Roman" w:hAnsi="Times New Roman"/>
          <w:sz w:val="28"/>
          <w:szCs w:val="28"/>
          <w:lang w:val="uk-UA" w:eastAsia="ru-RU"/>
        </w:rPr>
      </w:pPr>
      <w:r w:rsidRPr="000261B5">
        <w:rPr>
          <w:rFonts w:ascii="Times New Roman" w:hAnsi="Times New Roman"/>
          <w:sz w:val="28"/>
          <w:szCs w:val="28"/>
          <w:lang w:val="uk-UA" w:eastAsia="ru-RU"/>
        </w:rPr>
        <w:t>середньорічний приріст доходів загального фонду бюджету на 6 %;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зменшення податкового боргу.</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lastRenderedPageBreak/>
        <w:t xml:space="preserve">Рішенням міської ради надані пільги фізичним та юридичним особам зі сплати земельного податку та зі сплати податку на нерухоме майно, відмінне від земельної ділянки (рішення від 15 червня 2021 року № 300). Прогнозні втрати бюджету міської територіальної громади внаслідок наданих пільг зі сплати податків та зборів щорічно </w:t>
      </w:r>
      <w:proofErr w:type="spellStart"/>
      <w:r w:rsidRPr="000261B5">
        <w:rPr>
          <w:rFonts w:ascii="Times New Roman" w:hAnsi="Times New Roman"/>
          <w:sz w:val="28"/>
          <w:szCs w:val="28"/>
          <w:lang w:val="uk-UA" w:eastAsia="ru-RU"/>
        </w:rPr>
        <w:t>розрахунково</w:t>
      </w:r>
      <w:proofErr w:type="spellEnd"/>
      <w:r w:rsidRPr="000261B5">
        <w:rPr>
          <w:rFonts w:ascii="Times New Roman" w:hAnsi="Times New Roman"/>
          <w:sz w:val="28"/>
          <w:szCs w:val="28"/>
          <w:lang w:val="uk-UA" w:eastAsia="ru-RU"/>
        </w:rPr>
        <w:t xml:space="preserve"> становитимуть близько           3800000 грн., у тому числі по земельному податку – 3700000 грн., податку на нерухоме майно – 100000 грн.</w:t>
      </w:r>
    </w:p>
    <w:p w:rsidR="000261B5" w:rsidRPr="000261B5" w:rsidRDefault="000261B5" w:rsidP="000261B5">
      <w:pPr>
        <w:tabs>
          <w:tab w:val="left" w:pos="1860"/>
        </w:tabs>
        <w:spacing w:after="0" w:line="240" w:lineRule="auto"/>
        <w:rPr>
          <w:rFonts w:ascii="Times New Roman" w:hAnsi="Times New Roman"/>
          <w:sz w:val="28"/>
          <w:szCs w:val="28"/>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r w:rsidRPr="000261B5">
        <w:rPr>
          <w:rFonts w:ascii="Times New Roman" w:hAnsi="Times New Roman"/>
          <w:b/>
          <w:sz w:val="28"/>
          <w:szCs w:val="28"/>
          <w:lang w:val="uk-UA" w:eastAsia="ru-RU"/>
        </w:rPr>
        <w:t>V. Показники фінансування бюджету, показники місцевого боргу,</w:t>
      </w: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r w:rsidRPr="000261B5">
        <w:rPr>
          <w:rFonts w:ascii="Times New Roman" w:hAnsi="Times New Roman"/>
          <w:b/>
          <w:sz w:val="28"/>
          <w:szCs w:val="28"/>
          <w:lang w:val="uk-UA" w:eastAsia="ru-RU"/>
        </w:rPr>
        <w:t>гарантованого територіальною громадою міста боргу та надання місцевих гарантій</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Показники фінансування на 2022-2024 роки наведено у додатку 3 до Прогнозу. Показники гарантованого міською територіальною громадою боргу та надання місцевих гарантій на 2022-2024 роки відсутні, тому додатки  4, 5 до Прогнозу відсутні. </w:t>
      </w:r>
    </w:p>
    <w:p w:rsidR="000261B5" w:rsidRPr="000261B5" w:rsidRDefault="000261B5" w:rsidP="000261B5">
      <w:pPr>
        <w:tabs>
          <w:tab w:val="left" w:pos="1860"/>
        </w:tabs>
        <w:spacing w:after="0" w:line="240" w:lineRule="auto"/>
        <w:ind w:firstLine="709"/>
        <w:rPr>
          <w:rFonts w:ascii="Times New Roman" w:hAnsi="Times New Roman"/>
          <w:sz w:val="28"/>
          <w:szCs w:val="28"/>
          <w:highlight w:val="yellow"/>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r w:rsidRPr="000261B5">
        <w:rPr>
          <w:rFonts w:ascii="Times New Roman" w:hAnsi="Times New Roman"/>
          <w:b/>
          <w:sz w:val="28"/>
          <w:szCs w:val="28"/>
          <w:lang w:val="uk-UA" w:eastAsia="ru-RU"/>
        </w:rPr>
        <w:t>VІ. Показники видатків бюджету та надання кредитів з бюджету</w:t>
      </w: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Під час формування видаткової частини бюджету Новоукраїнської міської територіальної громади у середньостроковому періоді основним прагненням є 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економного використання коштів за діючими бюджетними програмами.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Прогнозні показники видатків та кредитування бюджету Новоукраїнської міської територіальної громади на 2022 – 2024 роки відображені на підставі поданих головними розпорядниками коштів пропозицій до Прогнозу, а саме:</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граничні показники видатків бюджету та надання кредитів з бюджету головним розпорядникам коштів – додаток 6;</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граничні показники видатків бюджету за Типовою програмною класифікацією видатків та кредитування місцевого бюджету – додаток 7.</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В процесі формування видаткової частини бюджету враховані прогнозні розміри мінімальної заробітної плати та посадового окладу працівника першого тарифного розряду Єдиної тарифної сітки на 2022-2024 роки відповідно до Бюджетної декларації, прийнятої Верховною Радою України 15 липня 2021 року: </w:t>
      </w:r>
    </w:p>
    <w:p w:rsidR="000261B5" w:rsidRPr="000261B5" w:rsidRDefault="000261B5" w:rsidP="000261B5">
      <w:pPr>
        <w:tabs>
          <w:tab w:val="left" w:pos="1860"/>
        </w:tabs>
        <w:spacing w:after="0" w:line="240" w:lineRule="auto"/>
        <w:ind w:firstLine="709"/>
        <w:jc w:val="center"/>
        <w:rPr>
          <w:rFonts w:ascii="Times New Roman" w:hAnsi="Times New Roman"/>
          <w:sz w:val="28"/>
          <w:szCs w:val="28"/>
          <w:lang w:val="uk-UA" w:eastAsia="ru-RU"/>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0"/>
        <w:gridCol w:w="1276"/>
        <w:gridCol w:w="1776"/>
        <w:gridCol w:w="1470"/>
        <w:gridCol w:w="2214"/>
      </w:tblGrid>
      <w:tr w:rsidR="000261B5" w:rsidRPr="000261B5" w:rsidTr="000261B5">
        <w:trPr>
          <w:trHeight w:val="100"/>
        </w:trPr>
        <w:tc>
          <w:tcPr>
            <w:tcW w:w="2901" w:type="dxa"/>
            <w:vMerge w:val="restart"/>
            <w:tcBorders>
              <w:top w:val="single" w:sz="4" w:space="0" w:color="auto"/>
              <w:left w:val="single" w:sz="4" w:space="0" w:color="auto"/>
              <w:bottom w:val="single" w:sz="4" w:space="0" w:color="auto"/>
              <w:right w:val="single" w:sz="4" w:space="0" w:color="auto"/>
            </w:tcBorders>
            <w:vAlign w:val="center"/>
          </w:tcPr>
          <w:p w:rsidR="000261B5" w:rsidRPr="000261B5" w:rsidRDefault="000261B5" w:rsidP="000261B5">
            <w:pPr>
              <w:tabs>
                <w:tab w:val="left" w:pos="1860"/>
              </w:tabs>
              <w:spacing w:after="0" w:line="240" w:lineRule="auto"/>
              <w:rPr>
                <w:rFonts w:ascii="Times New Roman" w:hAnsi="Times New Roman"/>
                <w:sz w:val="28"/>
                <w:szCs w:val="28"/>
                <w:lang w:eastAsia="ru-RU"/>
              </w:rPr>
            </w:pPr>
          </w:p>
        </w:tc>
        <w:tc>
          <w:tcPr>
            <w:tcW w:w="3053" w:type="dxa"/>
            <w:gridSpan w:val="2"/>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rPr>
                <w:rFonts w:ascii="Times New Roman" w:hAnsi="Times New Roman"/>
                <w:sz w:val="28"/>
                <w:szCs w:val="28"/>
                <w:lang w:eastAsia="ru-RU"/>
              </w:rPr>
            </w:pPr>
            <w:proofErr w:type="spellStart"/>
            <w:r w:rsidRPr="000261B5">
              <w:rPr>
                <w:rFonts w:ascii="Times New Roman" w:hAnsi="Times New Roman"/>
                <w:sz w:val="28"/>
                <w:szCs w:val="28"/>
                <w:lang w:eastAsia="ru-RU"/>
              </w:rPr>
              <w:t>Мінімальна</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заробітна</w:t>
            </w:r>
            <w:proofErr w:type="spellEnd"/>
            <w:r w:rsidRPr="000261B5">
              <w:rPr>
                <w:rFonts w:ascii="Times New Roman" w:hAnsi="Times New Roman"/>
                <w:sz w:val="28"/>
                <w:szCs w:val="28"/>
                <w:lang w:eastAsia="ru-RU"/>
              </w:rPr>
              <w:t xml:space="preserve"> плата</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rPr>
                <w:rFonts w:ascii="Times New Roman" w:hAnsi="Times New Roman"/>
                <w:sz w:val="28"/>
                <w:szCs w:val="28"/>
                <w:lang w:eastAsia="ru-RU"/>
              </w:rPr>
            </w:pPr>
            <w:proofErr w:type="spellStart"/>
            <w:r w:rsidRPr="000261B5">
              <w:rPr>
                <w:rFonts w:ascii="Times New Roman" w:hAnsi="Times New Roman"/>
                <w:sz w:val="28"/>
                <w:szCs w:val="28"/>
                <w:lang w:eastAsia="ru-RU"/>
              </w:rPr>
              <w:t>Посадовий</w:t>
            </w:r>
            <w:proofErr w:type="spellEnd"/>
            <w:r w:rsidRPr="000261B5">
              <w:rPr>
                <w:rFonts w:ascii="Times New Roman" w:hAnsi="Times New Roman"/>
                <w:sz w:val="28"/>
                <w:szCs w:val="28"/>
                <w:lang w:eastAsia="ru-RU"/>
              </w:rPr>
              <w:t xml:space="preserve"> оклад </w:t>
            </w:r>
            <w:proofErr w:type="spellStart"/>
            <w:r w:rsidRPr="000261B5">
              <w:rPr>
                <w:rFonts w:ascii="Times New Roman" w:hAnsi="Times New Roman"/>
                <w:sz w:val="28"/>
                <w:szCs w:val="28"/>
                <w:lang w:eastAsia="ru-RU"/>
              </w:rPr>
              <w:t>працівника</w:t>
            </w:r>
            <w:proofErr w:type="spellEnd"/>
            <w:r w:rsidRPr="000261B5">
              <w:rPr>
                <w:rFonts w:ascii="Times New Roman" w:hAnsi="Times New Roman"/>
                <w:sz w:val="28"/>
                <w:szCs w:val="28"/>
                <w:lang w:val="uk-UA" w:eastAsia="ru-RU"/>
              </w:rPr>
              <w:t xml:space="preserve"> </w:t>
            </w:r>
            <w:r w:rsidRPr="000261B5">
              <w:rPr>
                <w:rFonts w:ascii="Times New Roman" w:hAnsi="Times New Roman"/>
                <w:sz w:val="28"/>
                <w:szCs w:val="28"/>
                <w:lang w:eastAsia="ru-RU"/>
              </w:rPr>
              <w:t xml:space="preserve">І </w:t>
            </w:r>
            <w:proofErr w:type="gramStart"/>
            <w:r w:rsidRPr="000261B5">
              <w:rPr>
                <w:rFonts w:ascii="Times New Roman" w:hAnsi="Times New Roman"/>
                <w:sz w:val="28"/>
                <w:szCs w:val="28"/>
                <w:lang w:eastAsia="ru-RU"/>
              </w:rPr>
              <w:t>тарифного</w:t>
            </w:r>
            <w:proofErr w:type="gram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розряду</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Єдиної</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тарифної</w:t>
            </w:r>
            <w:proofErr w:type="spellEnd"/>
            <w:r w:rsidRPr="000261B5">
              <w:rPr>
                <w:rFonts w:ascii="Times New Roman" w:hAnsi="Times New Roman"/>
                <w:sz w:val="28"/>
                <w:szCs w:val="28"/>
                <w:lang w:eastAsia="ru-RU"/>
              </w:rPr>
              <w:t xml:space="preserve"> </w:t>
            </w:r>
            <w:proofErr w:type="spellStart"/>
            <w:r w:rsidRPr="000261B5">
              <w:rPr>
                <w:rFonts w:ascii="Times New Roman" w:hAnsi="Times New Roman"/>
                <w:sz w:val="28"/>
                <w:szCs w:val="28"/>
                <w:lang w:eastAsia="ru-RU"/>
              </w:rPr>
              <w:t>сітки</w:t>
            </w:r>
            <w:proofErr w:type="spellEnd"/>
          </w:p>
        </w:tc>
      </w:tr>
      <w:tr w:rsidR="000261B5" w:rsidRPr="000261B5" w:rsidTr="000261B5">
        <w:trPr>
          <w:trHeight w:val="599"/>
        </w:trPr>
        <w:tc>
          <w:tcPr>
            <w:tcW w:w="2901" w:type="dxa"/>
            <w:vMerge/>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spacing w:after="0" w:line="240" w:lineRule="auto"/>
              <w:rPr>
                <w:rFonts w:ascii="Times New Roman" w:hAnsi="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tabs>
                <w:tab w:val="left" w:pos="1860"/>
              </w:tabs>
              <w:spacing w:after="0" w:line="240" w:lineRule="auto"/>
              <w:rPr>
                <w:rFonts w:ascii="Times New Roman" w:hAnsi="Times New Roman"/>
                <w:sz w:val="28"/>
                <w:szCs w:val="28"/>
                <w:lang w:eastAsia="ru-RU"/>
              </w:rPr>
            </w:pPr>
            <w:r w:rsidRPr="000261B5">
              <w:rPr>
                <w:rFonts w:ascii="Times New Roman" w:hAnsi="Times New Roman"/>
                <w:sz w:val="28"/>
                <w:szCs w:val="28"/>
                <w:lang w:eastAsia="ru-RU"/>
              </w:rPr>
              <w:t>грн.</w:t>
            </w:r>
          </w:p>
        </w:tc>
        <w:tc>
          <w:tcPr>
            <w:tcW w:w="1777"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tabs>
                <w:tab w:val="left" w:pos="1860"/>
              </w:tabs>
              <w:spacing w:after="0" w:line="240" w:lineRule="auto"/>
              <w:rPr>
                <w:rFonts w:ascii="Times New Roman" w:hAnsi="Times New Roman"/>
                <w:sz w:val="28"/>
                <w:szCs w:val="28"/>
                <w:lang w:eastAsia="ru-RU"/>
              </w:rPr>
            </w:pPr>
            <w:proofErr w:type="spellStart"/>
            <w:r w:rsidRPr="000261B5">
              <w:rPr>
                <w:rFonts w:ascii="Times New Roman" w:hAnsi="Times New Roman"/>
                <w:sz w:val="28"/>
                <w:szCs w:val="28"/>
                <w:lang w:eastAsia="ru-RU"/>
              </w:rPr>
              <w:t>темпи</w:t>
            </w:r>
            <w:proofErr w:type="spellEnd"/>
            <w:r w:rsidRPr="000261B5">
              <w:rPr>
                <w:rFonts w:ascii="Times New Roman" w:hAnsi="Times New Roman"/>
                <w:sz w:val="28"/>
                <w:szCs w:val="28"/>
                <w:lang w:eastAsia="ru-RU"/>
              </w:rPr>
              <w:t xml:space="preserve"> приросту,%</w:t>
            </w:r>
          </w:p>
        </w:tc>
        <w:tc>
          <w:tcPr>
            <w:tcW w:w="1470"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tabs>
                <w:tab w:val="left" w:pos="1860"/>
              </w:tabs>
              <w:spacing w:after="0" w:line="240" w:lineRule="auto"/>
              <w:rPr>
                <w:rFonts w:ascii="Times New Roman" w:hAnsi="Times New Roman"/>
                <w:sz w:val="28"/>
                <w:szCs w:val="28"/>
                <w:lang w:eastAsia="ru-RU"/>
              </w:rPr>
            </w:pPr>
            <w:r w:rsidRPr="000261B5">
              <w:rPr>
                <w:rFonts w:ascii="Times New Roman" w:hAnsi="Times New Roman"/>
                <w:sz w:val="28"/>
                <w:szCs w:val="28"/>
                <w:lang w:eastAsia="ru-RU"/>
              </w:rPr>
              <w:t>грн.</w:t>
            </w:r>
          </w:p>
        </w:tc>
        <w:tc>
          <w:tcPr>
            <w:tcW w:w="2215"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tabs>
                <w:tab w:val="left" w:pos="1860"/>
              </w:tabs>
              <w:spacing w:after="0" w:line="240" w:lineRule="auto"/>
              <w:rPr>
                <w:rFonts w:ascii="Times New Roman" w:hAnsi="Times New Roman"/>
                <w:sz w:val="28"/>
                <w:szCs w:val="28"/>
                <w:lang w:eastAsia="ru-RU"/>
              </w:rPr>
            </w:pPr>
            <w:proofErr w:type="spellStart"/>
            <w:r w:rsidRPr="000261B5">
              <w:rPr>
                <w:rFonts w:ascii="Times New Roman" w:hAnsi="Times New Roman"/>
                <w:sz w:val="28"/>
                <w:szCs w:val="28"/>
                <w:lang w:eastAsia="ru-RU"/>
              </w:rPr>
              <w:t>темпи</w:t>
            </w:r>
            <w:proofErr w:type="spellEnd"/>
            <w:r w:rsidRPr="000261B5">
              <w:rPr>
                <w:rFonts w:ascii="Times New Roman" w:hAnsi="Times New Roman"/>
                <w:sz w:val="28"/>
                <w:szCs w:val="28"/>
                <w:lang w:eastAsia="ru-RU"/>
              </w:rPr>
              <w:t xml:space="preserve"> приросту,%</w:t>
            </w:r>
          </w:p>
        </w:tc>
      </w:tr>
      <w:tr w:rsidR="000261B5" w:rsidRPr="000261B5" w:rsidTr="000261B5">
        <w:trPr>
          <w:trHeight w:val="330"/>
        </w:trPr>
        <w:tc>
          <w:tcPr>
            <w:tcW w:w="2901"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tabs>
                <w:tab w:val="left" w:pos="1860"/>
              </w:tabs>
              <w:spacing w:after="0" w:line="240" w:lineRule="auto"/>
              <w:rPr>
                <w:rFonts w:ascii="Times New Roman" w:hAnsi="Times New Roman"/>
                <w:sz w:val="28"/>
                <w:szCs w:val="28"/>
                <w:lang w:eastAsia="ru-RU"/>
              </w:rPr>
            </w:pPr>
            <w:r w:rsidRPr="000261B5">
              <w:rPr>
                <w:rFonts w:ascii="Times New Roman" w:hAnsi="Times New Roman"/>
                <w:sz w:val="28"/>
                <w:szCs w:val="28"/>
                <w:lang w:eastAsia="ru-RU"/>
              </w:rPr>
              <w:t xml:space="preserve">з 01 </w:t>
            </w:r>
            <w:proofErr w:type="spellStart"/>
            <w:r w:rsidRPr="000261B5">
              <w:rPr>
                <w:rFonts w:ascii="Times New Roman" w:hAnsi="Times New Roman"/>
                <w:sz w:val="28"/>
                <w:szCs w:val="28"/>
                <w:lang w:eastAsia="ru-RU"/>
              </w:rPr>
              <w:t>січня</w:t>
            </w:r>
            <w:proofErr w:type="spellEnd"/>
            <w:r w:rsidRPr="000261B5">
              <w:rPr>
                <w:rFonts w:ascii="Times New Roman" w:hAnsi="Times New Roman"/>
                <w:sz w:val="28"/>
                <w:szCs w:val="28"/>
                <w:lang w:eastAsia="ru-RU"/>
              </w:rPr>
              <w:t xml:space="preserve"> 2022 року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6500</w:t>
            </w:r>
          </w:p>
        </w:tc>
        <w:tc>
          <w:tcPr>
            <w:tcW w:w="1777" w:type="dxa"/>
            <w:tcBorders>
              <w:top w:val="single" w:sz="4" w:space="0" w:color="auto"/>
              <w:left w:val="single" w:sz="4" w:space="0" w:color="auto"/>
              <w:bottom w:val="single" w:sz="4" w:space="0" w:color="auto"/>
              <w:right w:val="single" w:sz="4" w:space="0" w:color="auto"/>
            </w:tcBorders>
            <w:vAlign w:val="center"/>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2893</w:t>
            </w:r>
          </w:p>
        </w:tc>
        <w:tc>
          <w:tcPr>
            <w:tcW w:w="2215" w:type="dxa"/>
            <w:tcBorders>
              <w:top w:val="single" w:sz="4" w:space="0" w:color="auto"/>
              <w:left w:val="single" w:sz="4" w:space="0" w:color="auto"/>
              <w:bottom w:val="single" w:sz="4" w:space="0" w:color="auto"/>
              <w:right w:val="single" w:sz="4" w:space="0" w:color="auto"/>
            </w:tcBorders>
            <w:vAlign w:val="center"/>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p>
        </w:tc>
      </w:tr>
      <w:tr w:rsidR="000261B5" w:rsidRPr="000261B5" w:rsidTr="000261B5">
        <w:trPr>
          <w:trHeight w:val="330"/>
        </w:trPr>
        <w:tc>
          <w:tcPr>
            <w:tcW w:w="2901"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tabs>
                <w:tab w:val="left" w:pos="1860"/>
              </w:tabs>
              <w:spacing w:after="0" w:line="240" w:lineRule="auto"/>
              <w:rPr>
                <w:rFonts w:ascii="Times New Roman" w:hAnsi="Times New Roman"/>
                <w:sz w:val="28"/>
                <w:szCs w:val="28"/>
                <w:lang w:eastAsia="ru-RU"/>
              </w:rPr>
            </w:pPr>
            <w:r w:rsidRPr="000261B5">
              <w:rPr>
                <w:rFonts w:ascii="Times New Roman" w:hAnsi="Times New Roman"/>
                <w:sz w:val="28"/>
                <w:szCs w:val="28"/>
                <w:lang w:eastAsia="ru-RU"/>
              </w:rPr>
              <w:t xml:space="preserve">з 01 </w:t>
            </w:r>
            <w:proofErr w:type="spellStart"/>
            <w:r w:rsidRPr="000261B5">
              <w:rPr>
                <w:rFonts w:ascii="Times New Roman" w:hAnsi="Times New Roman"/>
                <w:sz w:val="28"/>
                <w:szCs w:val="28"/>
                <w:lang w:eastAsia="ru-RU"/>
              </w:rPr>
              <w:t>жовтня</w:t>
            </w:r>
            <w:proofErr w:type="spellEnd"/>
            <w:r w:rsidRPr="000261B5">
              <w:rPr>
                <w:rFonts w:ascii="Times New Roman" w:hAnsi="Times New Roman"/>
                <w:sz w:val="28"/>
                <w:szCs w:val="28"/>
                <w:lang w:eastAsia="ru-RU"/>
              </w:rPr>
              <w:t xml:space="preserve"> 2022 року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6700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3,1</w:t>
            </w:r>
          </w:p>
        </w:tc>
        <w:tc>
          <w:tcPr>
            <w:tcW w:w="1470"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2982</w:t>
            </w:r>
          </w:p>
        </w:tc>
        <w:tc>
          <w:tcPr>
            <w:tcW w:w="2215"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3,1</w:t>
            </w:r>
          </w:p>
        </w:tc>
      </w:tr>
      <w:tr w:rsidR="000261B5" w:rsidRPr="000261B5" w:rsidTr="000261B5">
        <w:trPr>
          <w:trHeight w:val="330"/>
        </w:trPr>
        <w:tc>
          <w:tcPr>
            <w:tcW w:w="2901"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tabs>
                <w:tab w:val="left" w:pos="1860"/>
              </w:tabs>
              <w:spacing w:after="0" w:line="240" w:lineRule="auto"/>
              <w:rPr>
                <w:rFonts w:ascii="Times New Roman" w:hAnsi="Times New Roman"/>
                <w:sz w:val="28"/>
                <w:szCs w:val="28"/>
                <w:lang w:eastAsia="ru-RU"/>
              </w:rPr>
            </w:pPr>
            <w:r w:rsidRPr="000261B5">
              <w:rPr>
                <w:rFonts w:ascii="Times New Roman" w:hAnsi="Times New Roman"/>
                <w:sz w:val="28"/>
                <w:szCs w:val="28"/>
                <w:lang w:eastAsia="ru-RU"/>
              </w:rPr>
              <w:t xml:space="preserve">з 01 </w:t>
            </w:r>
            <w:proofErr w:type="spellStart"/>
            <w:r w:rsidRPr="000261B5">
              <w:rPr>
                <w:rFonts w:ascii="Times New Roman" w:hAnsi="Times New Roman"/>
                <w:sz w:val="28"/>
                <w:szCs w:val="28"/>
                <w:lang w:eastAsia="ru-RU"/>
              </w:rPr>
              <w:t>січня</w:t>
            </w:r>
            <w:proofErr w:type="spellEnd"/>
            <w:r w:rsidRPr="000261B5">
              <w:rPr>
                <w:rFonts w:ascii="Times New Roman" w:hAnsi="Times New Roman"/>
                <w:sz w:val="28"/>
                <w:szCs w:val="28"/>
                <w:lang w:eastAsia="ru-RU"/>
              </w:rPr>
              <w:t xml:space="preserve"> 2023 року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7176</w:t>
            </w:r>
          </w:p>
        </w:tc>
        <w:tc>
          <w:tcPr>
            <w:tcW w:w="1777"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7,1</w:t>
            </w:r>
          </w:p>
        </w:tc>
        <w:tc>
          <w:tcPr>
            <w:tcW w:w="1470"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3193</w:t>
            </w:r>
          </w:p>
        </w:tc>
        <w:tc>
          <w:tcPr>
            <w:tcW w:w="2215"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7,1</w:t>
            </w:r>
          </w:p>
        </w:tc>
      </w:tr>
      <w:tr w:rsidR="000261B5" w:rsidRPr="000261B5" w:rsidTr="000261B5">
        <w:trPr>
          <w:trHeight w:val="325"/>
        </w:trPr>
        <w:tc>
          <w:tcPr>
            <w:tcW w:w="2901"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tabs>
                <w:tab w:val="left" w:pos="1860"/>
              </w:tabs>
              <w:spacing w:after="0" w:line="240" w:lineRule="auto"/>
              <w:rPr>
                <w:rFonts w:ascii="Times New Roman" w:hAnsi="Times New Roman"/>
                <w:sz w:val="28"/>
                <w:szCs w:val="28"/>
                <w:lang w:eastAsia="ru-RU"/>
              </w:rPr>
            </w:pPr>
            <w:r w:rsidRPr="000261B5">
              <w:rPr>
                <w:rFonts w:ascii="Times New Roman" w:hAnsi="Times New Roman"/>
                <w:sz w:val="28"/>
                <w:szCs w:val="28"/>
                <w:lang w:eastAsia="ru-RU"/>
              </w:rPr>
              <w:lastRenderedPageBreak/>
              <w:t xml:space="preserve">з 01 </w:t>
            </w:r>
            <w:proofErr w:type="spellStart"/>
            <w:r w:rsidRPr="000261B5">
              <w:rPr>
                <w:rFonts w:ascii="Times New Roman" w:hAnsi="Times New Roman"/>
                <w:sz w:val="28"/>
                <w:szCs w:val="28"/>
                <w:lang w:eastAsia="ru-RU"/>
              </w:rPr>
              <w:t>січня</w:t>
            </w:r>
            <w:proofErr w:type="spellEnd"/>
            <w:r w:rsidRPr="000261B5">
              <w:rPr>
                <w:rFonts w:ascii="Times New Roman" w:hAnsi="Times New Roman"/>
                <w:sz w:val="28"/>
                <w:szCs w:val="28"/>
                <w:lang w:eastAsia="ru-RU"/>
              </w:rPr>
              <w:t xml:space="preserve"> 2024 року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7665</w:t>
            </w:r>
          </w:p>
        </w:tc>
        <w:tc>
          <w:tcPr>
            <w:tcW w:w="1777"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6,8</w:t>
            </w:r>
          </w:p>
        </w:tc>
        <w:tc>
          <w:tcPr>
            <w:tcW w:w="1470"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3411</w:t>
            </w:r>
          </w:p>
        </w:tc>
        <w:tc>
          <w:tcPr>
            <w:tcW w:w="2215" w:type="dxa"/>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tabs>
                <w:tab w:val="left" w:pos="1860"/>
              </w:tabs>
              <w:spacing w:after="0" w:line="240" w:lineRule="auto"/>
              <w:jc w:val="center"/>
              <w:rPr>
                <w:rFonts w:ascii="Times New Roman" w:hAnsi="Times New Roman"/>
                <w:sz w:val="28"/>
                <w:szCs w:val="28"/>
                <w:lang w:eastAsia="ru-RU"/>
              </w:rPr>
            </w:pPr>
            <w:r w:rsidRPr="000261B5">
              <w:rPr>
                <w:rFonts w:ascii="Times New Roman" w:hAnsi="Times New Roman"/>
                <w:sz w:val="28"/>
                <w:szCs w:val="28"/>
                <w:lang w:eastAsia="ru-RU"/>
              </w:rPr>
              <w:t>6,8</w:t>
            </w:r>
          </w:p>
        </w:tc>
      </w:tr>
    </w:tbl>
    <w:p w:rsidR="000261B5" w:rsidRPr="000261B5" w:rsidRDefault="000261B5" w:rsidP="000261B5">
      <w:pPr>
        <w:spacing w:after="0" w:line="240" w:lineRule="auto"/>
        <w:ind w:firstLine="709"/>
        <w:jc w:val="both"/>
        <w:rPr>
          <w:rFonts w:ascii="Times New Roman" w:hAnsi="Times New Roman"/>
          <w:sz w:val="28"/>
          <w:szCs w:val="28"/>
          <w:lang w:val="uk-UA"/>
        </w:rPr>
      </w:pPr>
    </w:p>
    <w:p w:rsidR="000261B5" w:rsidRPr="000261B5" w:rsidRDefault="000261B5" w:rsidP="000261B5">
      <w:pPr>
        <w:suppressAutoHyphens/>
        <w:spacing w:before="120" w:after="0" w:line="240" w:lineRule="auto"/>
        <w:ind w:firstLine="567"/>
        <w:jc w:val="both"/>
        <w:rPr>
          <w:rFonts w:ascii="Times New Roman" w:eastAsia="Times New Roman" w:hAnsi="Times New Roman"/>
          <w:sz w:val="28"/>
          <w:szCs w:val="28"/>
          <w:lang w:val="uk-UA" w:eastAsia="ar-SA"/>
        </w:rPr>
      </w:pPr>
      <w:r w:rsidRPr="000261B5">
        <w:rPr>
          <w:rFonts w:ascii="Times New Roman" w:eastAsia="Times New Roman" w:hAnsi="Times New Roman"/>
          <w:b/>
          <w:sz w:val="28"/>
          <w:szCs w:val="28"/>
          <w:lang w:val="uk-UA" w:eastAsia="ar-SA"/>
        </w:rPr>
        <w:t>Розрахунок прогнозу видатків</w:t>
      </w:r>
      <w:r w:rsidRPr="000261B5">
        <w:rPr>
          <w:rFonts w:ascii="Times New Roman" w:eastAsia="Times New Roman" w:hAnsi="Times New Roman"/>
          <w:sz w:val="28"/>
          <w:szCs w:val="28"/>
          <w:lang w:val="uk-UA" w:eastAsia="ar-SA"/>
        </w:rPr>
        <w:t xml:space="preserve"> загального фонду на 2022 – 2024 роки на оплату бюджетними установами та організаціями </w:t>
      </w:r>
      <w:r w:rsidRPr="000261B5">
        <w:rPr>
          <w:rFonts w:ascii="Times New Roman" w:eastAsia="Times New Roman" w:hAnsi="Times New Roman"/>
          <w:b/>
          <w:sz w:val="28"/>
          <w:szCs w:val="28"/>
          <w:lang w:val="uk-UA" w:eastAsia="ar-SA"/>
        </w:rPr>
        <w:t>комунальних послуг та енергоносіїв</w:t>
      </w:r>
      <w:r w:rsidRPr="000261B5">
        <w:rPr>
          <w:rFonts w:ascii="Times New Roman" w:eastAsia="Times New Roman" w:hAnsi="Times New Roman"/>
          <w:sz w:val="28"/>
          <w:szCs w:val="28"/>
          <w:lang w:val="uk-UA" w:eastAsia="ar-SA"/>
        </w:rPr>
        <w:t xml:space="preserve"> здійснюється згідно фактичних видатків по натуральним  показникам та діючим тарифам 2020 року, з врахуванням інфляції та індексу споживчих цін.</w:t>
      </w:r>
    </w:p>
    <w:p w:rsidR="000261B5" w:rsidRPr="000261B5" w:rsidRDefault="000261B5" w:rsidP="000261B5">
      <w:pPr>
        <w:shd w:val="clear" w:color="auto" w:fill="FFFFFF"/>
        <w:tabs>
          <w:tab w:val="left" w:pos="993"/>
        </w:tabs>
        <w:suppressAutoHyphens/>
        <w:spacing w:before="120" w:after="0" w:line="240" w:lineRule="auto"/>
        <w:ind w:firstLine="567"/>
        <w:jc w:val="both"/>
        <w:textAlignment w:val="baseline"/>
        <w:rPr>
          <w:rFonts w:ascii="Times New Roman" w:eastAsia="Times New Roman" w:hAnsi="Times New Roman"/>
          <w:sz w:val="28"/>
          <w:szCs w:val="28"/>
          <w:lang w:val="uk-UA" w:eastAsia="ar-SA"/>
        </w:rPr>
      </w:pPr>
      <w:r w:rsidRPr="000261B5">
        <w:rPr>
          <w:rFonts w:ascii="Times New Roman" w:eastAsia="Times New Roman" w:hAnsi="Times New Roman"/>
          <w:sz w:val="28"/>
          <w:szCs w:val="28"/>
          <w:lang w:val="uk-UA" w:eastAsia="ar-SA"/>
        </w:rPr>
        <w:t>При здійсненні розрахунку обсягу видатків на 2022 рік та індикативних прогнозних показників обсягу видатків  загального фонду міського  бюджету на 2023-2024 роки слід враховувати індекс споживчих цін:</w:t>
      </w:r>
    </w:p>
    <w:p w:rsidR="000261B5" w:rsidRPr="000261B5" w:rsidRDefault="000261B5" w:rsidP="000261B5">
      <w:pPr>
        <w:spacing w:after="0" w:line="240" w:lineRule="auto"/>
        <w:ind w:firstLine="709"/>
        <w:jc w:val="center"/>
        <w:outlineLvl w:val="0"/>
        <w:rPr>
          <w:rFonts w:ascii="Times New Roman" w:hAnsi="Times New Roman"/>
          <w:b/>
          <w:sz w:val="28"/>
          <w:szCs w:val="28"/>
          <w:lang w:val="uk-UA"/>
        </w:rPr>
      </w:pPr>
    </w:p>
    <w:p w:rsidR="000261B5" w:rsidRPr="000261B5" w:rsidRDefault="000261B5" w:rsidP="000261B5">
      <w:pPr>
        <w:spacing w:after="0" w:line="240" w:lineRule="auto"/>
        <w:ind w:firstLine="709"/>
        <w:jc w:val="center"/>
        <w:outlineLvl w:val="0"/>
        <w:rPr>
          <w:rFonts w:ascii="Times New Roman" w:hAnsi="Times New Roman"/>
          <w:b/>
          <w:sz w:val="28"/>
          <w:szCs w:val="28"/>
          <w:lang w:val="uk-UA"/>
        </w:rPr>
      </w:pPr>
      <w:proofErr w:type="spellStart"/>
      <w:r w:rsidRPr="000261B5">
        <w:rPr>
          <w:rFonts w:ascii="Times New Roman" w:hAnsi="Times New Roman"/>
          <w:b/>
          <w:sz w:val="28"/>
          <w:szCs w:val="28"/>
        </w:rPr>
        <w:t>Основні</w:t>
      </w:r>
      <w:proofErr w:type="spellEnd"/>
      <w:r w:rsidRPr="000261B5">
        <w:rPr>
          <w:rFonts w:ascii="Times New Roman" w:hAnsi="Times New Roman"/>
          <w:b/>
          <w:sz w:val="28"/>
          <w:szCs w:val="28"/>
        </w:rPr>
        <w:t xml:space="preserve"> </w:t>
      </w:r>
      <w:proofErr w:type="spellStart"/>
      <w:r w:rsidRPr="000261B5">
        <w:rPr>
          <w:rFonts w:ascii="Times New Roman" w:hAnsi="Times New Roman"/>
          <w:b/>
          <w:sz w:val="28"/>
          <w:szCs w:val="28"/>
        </w:rPr>
        <w:t>макропоказники</w:t>
      </w:r>
      <w:proofErr w:type="spellEnd"/>
      <w:r w:rsidRPr="000261B5">
        <w:rPr>
          <w:rFonts w:ascii="Times New Roman" w:hAnsi="Times New Roman"/>
          <w:b/>
          <w:sz w:val="28"/>
          <w:szCs w:val="28"/>
        </w:rPr>
        <w:t xml:space="preserve"> </w:t>
      </w:r>
      <w:proofErr w:type="spellStart"/>
      <w:r w:rsidRPr="000261B5">
        <w:rPr>
          <w:rFonts w:ascii="Times New Roman" w:hAnsi="Times New Roman"/>
          <w:b/>
          <w:sz w:val="28"/>
          <w:szCs w:val="28"/>
        </w:rPr>
        <w:t>економічного</w:t>
      </w:r>
      <w:proofErr w:type="spellEnd"/>
      <w:r w:rsidRPr="000261B5">
        <w:rPr>
          <w:rFonts w:ascii="Times New Roman" w:hAnsi="Times New Roman"/>
          <w:b/>
          <w:sz w:val="28"/>
          <w:szCs w:val="28"/>
        </w:rPr>
        <w:t xml:space="preserve"> і </w:t>
      </w:r>
      <w:proofErr w:type="spellStart"/>
      <w:proofErr w:type="gramStart"/>
      <w:r w:rsidRPr="000261B5">
        <w:rPr>
          <w:rFonts w:ascii="Times New Roman" w:hAnsi="Times New Roman"/>
          <w:b/>
          <w:sz w:val="28"/>
          <w:szCs w:val="28"/>
        </w:rPr>
        <w:t>соц</w:t>
      </w:r>
      <w:proofErr w:type="gramEnd"/>
      <w:r w:rsidRPr="000261B5">
        <w:rPr>
          <w:rFonts w:ascii="Times New Roman" w:hAnsi="Times New Roman"/>
          <w:b/>
          <w:sz w:val="28"/>
          <w:szCs w:val="28"/>
        </w:rPr>
        <w:t>іального</w:t>
      </w:r>
      <w:proofErr w:type="spellEnd"/>
      <w:r w:rsidRPr="000261B5">
        <w:rPr>
          <w:rFonts w:ascii="Times New Roman" w:hAnsi="Times New Roman"/>
          <w:b/>
          <w:sz w:val="28"/>
          <w:szCs w:val="28"/>
        </w:rPr>
        <w:t xml:space="preserve"> </w:t>
      </w:r>
      <w:proofErr w:type="spellStart"/>
      <w:r w:rsidRPr="000261B5">
        <w:rPr>
          <w:rFonts w:ascii="Times New Roman" w:hAnsi="Times New Roman"/>
          <w:b/>
          <w:sz w:val="28"/>
          <w:szCs w:val="28"/>
        </w:rPr>
        <w:t>розвитку</w:t>
      </w:r>
      <w:proofErr w:type="spellEnd"/>
      <w:r w:rsidRPr="000261B5">
        <w:rPr>
          <w:rFonts w:ascii="Times New Roman" w:hAnsi="Times New Roman"/>
          <w:b/>
          <w:sz w:val="28"/>
          <w:szCs w:val="28"/>
        </w:rPr>
        <w:t xml:space="preserve"> </w:t>
      </w:r>
      <w:proofErr w:type="spellStart"/>
      <w:r w:rsidRPr="000261B5">
        <w:rPr>
          <w:rFonts w:ascii="Times New Roman" w:hAnsi="Times New Roman"/>
          <w:b/>
          <w:sz w:val="28"/>
          <w:szCs w:val="28"/>
        </w:rPr>
        <w:t>України</w:t>
      </w:r>
      <w:proofErr w:type="spellEnd"/>
      <w:r w:rsidRPr="000261B5">
        <w:rPr>
          <w:rFonts w:ascii="Times New Roman" w:hAnsi="Times New Roman"/>
          <w:b/>
          <w:sz w:val="28"/>
          <w:szCs w:val="28"/>
        </w:rPr>
        <w:t xml:space="preserve"> у 2020-2024 роках</w:t>
      </w:r>
    </w:p>
    <w:p w:rsidR="000261B5" w:rsidRPr="000261B5" w:rsidRDefault="000261B5" w:rsidP="000261B5">
      <w:pPr>
        <w:spacing w:after="0" w:line="240" w:lineRule="auto"/>
        <w:ind w:firstLine="709"/>
        <w:jc w:val="center"/>
        <w:rPr>
          <w:rFonts w:ascii="Times New Roman" w:hAnsi="Times New Roman"/>
          <w:sz w:val="28"/>
          <w:szCs w:val="28"/>
          <w:lang w:val="uk-UA"/>
        </w:rPr>
      </w:pPr>
    </w:p>
    <w:tbl>
      <w:tblPr>
        <w:tblW w:w="95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303"/>
        <w:gridCol w:w="1382"/>
        <w:gridCol w:w="1001"/>
        <w:gridCol w:w="100"/>
        <w:gridCol w:w="1027"/>
        <w:gridCol w:w="77"/>
        <w:gridCol w:w="924"/>
      </w:tblGrid>
      <w:tr w:rsidR="000261B5" w:rsidRPr="000261B5" w:rsidTr="000261B5">
        <w:trPr>
          <w:trHeight w:val="180"/>
        </w:trPr>
        <w:tc>
          <w:tcPr>
            <w:tcW w:w="3686" w:type="dxa"/>
            <w:vMerge w:val="restart"/>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proofErr w:type="spellStart"/>
            <w:r w:rsidRPr="000261B5">
              <w:rPr>
                <w:rFonts w:ascii="Times New Roman" w:hAnsi="Times New Roman"/>
                <w:sz w:val="28"/>
                <w:szCs w:val="28"/>
              </w:rPr>
              <w:t>Назва</w:t>
            </w:r>
            <w:proofErr w:type="spellEnd"/>
          </w:p>
        </w:tc>
        <w:tc>
          <w:tcPr>
            <w:tcW w:w="1303"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2020</w:t>
            </w:r>
          </w:p>
        </w:tc>
        <w:tc>
          <w:tcPr>
            <w:tcW w:w="138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2021</w:t>
            </w:r>
          </w:p>
        </w:tc>
        <w:tc>
          <w:tcPr>
            <w:tcW w:w="1101" w:type="dxa"/>
            <w:gridSpan w:val="2"/>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2022</w:t>
            </w:r>
          </w:p>
        </w:tc>
        <w:tc>
          <w:tcPr>
            <w:tcW w:w="1104" w:type="dxa"/>
            <w:gridSpan w:val="2"/>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2023</w:t>
            </w:r>
          </w:p>
        </w:tc>
        <w:tc>
          <w:tcPr>
            <w:tcW w:w="924"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2024</w:t>
            </w:r>
          </w:p>
        </w:tc>
      </w:tr>
      <w:tr w:rsidR="000261B5" w:rsidRPr="000261B5" w:rsidTr="000261B5">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61B5" w:rsidRPr="000261B5" w:rsidRDefault="000261B5" w:rsidP="000261B5">
            <w:pPr>
              <w:spacing w:after="0" w:line="240" w:lineRule="auto"/>
              <w:rPr>
                <w:rFonts w:ascii="Times New Roman" w:hAnsi="Times New Roman"/>
                <w:sz w:val="28"/>
                <w:szCs w:val="28"/>
              </w:rPr>
            </w:pPr>
          </w:p>
        </w:tc>
        <w:tc>
          <w:tcPr>
            <w:tcW w:w="1303"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proofErr w:type="spellStart"/>
            <w:r w:rsidRPr="000261B5">
              <w:rPr>
                <w:rFonts w:ascii="Times New Roman" w:hAnsi="Times New Roman"/>
                <w:sz w:val="28"/>
                <w:szCs w:val="28"/>
              </w:rPr>
              <w:t>звіт</w:t>
            </w:r>
            <w:proofErr w:type="spellEnd"/>
          </w:p>
        </w:tc>
        <w:tc>
          <w:tcPr>
            <w:tcW w:w="138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proofErr w:type="spellStart"/>
            <w:r w:rsidRPr="000261B5">
              <w:rPr>
                <w:rFonts w:ascii="Times New Roman" w:hAnsi="Times New Roman"/>
                <w:sz w:val="28"/>
                <w:szCs w:val="28"/>
              </w:rPr>
              <w:t>очікуване</w:t>
            </w:r>
            <w:proofErr w:type="spellEnd"/>
          </w:p>
        </w:tc>
        <w:tc>
          <w:tcPr>
            <w:tcW w:w="3129" w:type="dxa"/>
            <w:gridSpan w:val="5"/>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прогноз</w:t>
            </w:r>
          </w:p>
        </w:tc>
      </w:tr>
      <w:tr w:rsidR="000261B5" w:rsidRPr="000261B5" w:rsidTr="000261B5">
        <w:trPr>
          <w:trHeight w:val="1132"/>
        </w:trPr>
        <w:tc>
          <w:tcPr>
            <w:tcW w:w="3686"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u w:val="single"/>
              </w:rPr>
            </w:pPr>
            <w:proofErr w:type="spellStart"/>
            <w:r w:rsidRPr="000261B5">
              <w:rPr>
                <w:rFonts w:ascii="Times New Roman" w:hAnsi="Times New Roman"/>
                <w:sz w:val="28"/>
                <w:szCs w:val="28"/>
                <w:u w:val="single"/>
              </w:rPr>
              <w:t>Індекс</w:t>
            </w:r>
            <w:proofErr w:type="spellEnd"/>
            <w:r w:rsidRPr="000261B5">
              <w:rPr>
                <w:rFonts w:ascii="Times New Roman" w:hAnsi="Times New Roman"/>
                <w:sz w:val="28"/>
                <w:szCs w:val="28"/>
                <w:u w:val="single"/>
              </w:rPr>
              <w:t xml:space="preserve"> </w:t>
            </w:r>
            <w:proofErr w:type="spellStart"/>
            <w:r w:rsidRPr="000261B5">
              <w:rPr>
                <w:rFonts w:ascii="Times New Roman" w:hAnsi="Times New Roman"/>
                <w:sz w:val="28"/>
                <w:szCs w:val="28"/>
                <w:u w:val="single"/>
              </w:rPr>
              <w:t>споживчих</w:t>
            </w:r>
            <w:proofErr w:type="spellEnd"/>
            <w:r w:rsidRPr="000261B5">
              <w:rPr>
                <w:rFonts w:ascii="Times New Roman" w:hAnsi="Times New Roman"/>
                <w:sz w:val="28"/>
                <w:szCs w:val="28"/>
                <w:u w:val="single"/>
              </w:rPr>
              <w:t xml:space="preserve"> </w:t>
            </w:r>
            <w:proofErr w:type="spellStart"/>
            <w:r w:rsidRPr="000261B5">
              <w:rPr>
                <w:rFonts w:ascii="Times New Roman" w:hAnsi="Times New Roman"/>
                <w:sz w:val="28"/>
                <w:szCs w:val="28"/>
                <w:u w:val="single"/>
              </w:rPr>
              <w:t>цін</w:t>
            </w:r>
            <w:proofErr w:type="spellEnd"/>
            <w:r w:rsidRPr="000261B5">
              <w:rPr>
                <w:rFonts w:ascii="Times New Roman" w:hAnsi="Times New Roman"/>
                <w:sz w:val="28"/>
                <w:szCs w:val="28"/>
                <w:u w:val="single"/>
              </w:rPr>
              <w:t xml:space="preserve"> (ІСЦ):</w:t>
            </w:r>
            <w:r w:rsidRPr="000261B5">
              <w:rPr>
                <w:rFonts w:ascii="Times New Roman" w:hAnsi="Times New Roman"/>
                <w:sz w:val="28"/>
                <w:szCs w:val="28"/>
                <w:u w:val="single"/>
                <w:lang w:val="uk-UA"/>
              </w:rPr>
              <w:t xml:space="preserve"> </w:t>
            </w:r>
            <w:proofErr w:type="spellStart"/>
            <w:r w:rsidRPr="000261B5">
              <w:rPr>
                <w:rFonts w:ascii="Times New Roman" w:hAnsi="Times New Roman"/>
                <w:sz w:val="28"/>
                <w:szCs w:val="28"/>
              </w:rPr>
              <w:t>грудень</w:t>
            </w:r>
            <w:proofErr w:type="spellEnd"/>
            <w:r w:rsidRPr="000261B5">
              <w:rPr>
                <w:rFonts w:ascii="Times New Roman" w:hAnsi="Times New Roman"/>
                <w:sz w:val="28"/>
                <w:szCs w:val="28"/>
              </w:rPr>
              <w:t xml:space="preserve"> до </w:t>
            </w:r>
            <w:proofErr w:type="spellStart"/>
            <w:r w:rsidRPr="000261B5">
              <w:rPr>
                <w:rFonts w:ascii="Times New Roman" w:hAnsi="Times New Roman"/>
                <w:sz w:val="28"/>
                <w:szCs w:val="28"/>
              </w:rPr>
              <w:t>грудня</w:t>
            </w:r>
            <w:proofErr w:type="spellEnd"/>
            <w:r w:rsidRPr="000261B5">
              <w:rPr>
                <w:rFonts w:ascii="Times New Roman" w:hAnsi="Times New Roman"/>
                <w:sz w:val="28"/>
                <w:szCs w:val="28"/>
              </w:rPr>
              <w:t xml:space="preserve"> </w:t>
            </w:r>
            <w:proofErr w:type="spellStart"/>
            <w:r w:rsidRPr="000261B5">
              <w:rPr>
                <w:rFonts w:ascii="Times New Roman" w:hAnsi="Times New Roman"/>
                <w:sz w:val="28"/>
                <w:szCs w:val="28"/>
              </w:rPr>
              <w:t>попереднього</w:t>
            </w:r>
            <w:proofErr w:type="spellEnd"/>
            <w:r w:rsidRPr="000261B5">
              <w:rPr>
                <w:rFonts w:ascii="Times New Roman" w:hAnsi="Times New Roman"/>
                <w:sz w:val="28"/>
                <w:szCs w:val="28"/>
              </w:rPr>
              <w:t xml:space="preserve"> року, </w:t>
            </w:r>
            <w:proofErr w:type="spellStart"/>
            <w:r w:rsidRPr="000261B5">
              <w:rPr>
                <w:rFonts w:ascii="Times New Roman" w:hAnsi="Times New Roman"/>
                <w:sz w:val="28"/>
                <w:szCs w:val="28"/>
              </w:rPr>
              <w:t>відсотки</w:t>
            </w:r>
            <w:proofErr w:type="spellEnd"/>
          </w:p>
        </w:tc>
        <w:tc>
          <w:tcPr>
            <w:tcW w:w="1303"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105,0</w:t>
            </w:r>
          </w:p>
        </w:tc>
        <w:tc>
          <w:tcPr>
            <w:tcW w:w="138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108,9</w:t>
            </w:r>
          </w:p>
        </w:tc>
        <w:tc>
          <w:tcPr>
            <w:tcW w:w="1001"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106,2</w:t>
            </w:r>
          </w:p>
        </w:tc>
        <w:tc>
          <w:tcPr>
            <w:tcW w:w="1127" w:type="dxa"/>
            <w:gridSpan w:val="2"/>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105,3</w:t>
            </w:r>
          </w:p>
        </w:tc>
        <w:tc>
          <w:tcPr>
            <w:tcW w:w="1001" w:type="dxa"/>
            <w:gridSpan w:val="2"/>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105,0</w:t>
            </w:r>
          </w:p>
        </w:tc>
      </w:tr>
      <w:tr w:rsidR="000261B5" w:rsidRPr="000261B5" w:rsidTr="000261B5">
        <w:trPr>
          <w:trHeight w:val="180"/>
        </w:trPr>
        <w:tc>
          <w:tcPr>
            <w:tcW w:w="3686"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u w:val="single"/>
              </w:rPr>
              <w:t xml:space="preserve">1ндекс </w:t>
            </w:r>
            <w:proofErr w:type="spellStart"/>
            <w:r w:rsidRPr="000261B5">
              <w:rPr>
                <w:rFonts w:ascii="Times New Roman" w:hAnsi="Times New Roman"/>
                <w:sz w:val="28"/>
                <w:szCs w:val="28"/>
                <w:u w:val="single"/>
              </w:rPr>
              <w:t>цін</w:t>
            </w:r>
            <w:proofErr w:type="spellEnd"/>
            <w:r w:rsidRPr="000261B5">
              <w:rPr>
                <w:rFonts w:ascii="Times New Roman" w:hAnsi="Times New Roman"/>
                <w:sz w:val="28"/>
                <w:szCs w:val="28"/>
                <w:u w:val="single"/>
              </w:rPr>
              <w:t xml:space="preserve"> </w:t>
            </w:r>
            <w:proofErr w:type="spellStart"/>
            <w:r w:rsidRPr="000261B5">
              <w:rPr>
                <w:rFonts w:ascii="Times New Roman" w:hAnsi="Times New Roman"/>
                <w:sz w:val="28"/>
                <w:szCs w:val="28"/>
                <w:u w:val="single"/>
              </w:rPr>
              <w:t>виробників</w:t>
            </w:r>
            <w:proofErr w:type="spellEnd"/>
            <w:r w:rsidRPr="000261B5">
              <w:rPr>
                <w:rFonts w:ascii="Times New Roman" w:hAnsi="Times New Roman"/>
                <w:sz w:val="28"/>
                <w:szCs w:val="28"/>
                <w:u w:val="single"/>
              </w:rPr>
              <w:t xml:space="preserve"> (ІЦВ):</w:t>
            </w:r>
            <w:r w:rsidRPr="000261B5">
              <w:rPr>
                <w:rFonts w:ascii="Times New Roman" w:hAnsi="Times New Roman"/>
                <w:sz w:val="28"/>
                <w:szCs w:val="28"/>
              </w:rPr>
              <w:t xml:space="preserve"> </w:t>
            </w:r>
            <w:proofErr w:type="spellStart"/>
            <w:r w:rsidRPr="000261B5">
              <w:rPr>
                <w:rFonts w:ascii="Times New Roman" w:hAnsi="Times New Roman"/>
                <w:sz w:val="28"/>
                <w:szCs w:val="28"/>
              </w:rPr>
              <w:t>грудень</w:t>
            </w:r>
            <w:proofErr w:type="spellEnd"/>
            <w:r w:rsidRPr="000261B5">
              <w:rPr>
                <w:rFonts w:ascii="Times New Roman" w:hAnsi="Times New Roman"/>
                <w:sz w:val="28"/>
                <w:szCs w:val="28"/>
              </w:rPr>
              <w:t xml:space="preserve"> до </w:t>
            </w:r>
            <w:proofErr w:type="spellStart"/>
            <w:r w:rsidRPr="000261B5">
              <w:rPr>
                <w:rFonts w:ascii="Times New Roman" w:hAnsi="Times New Roman"/>
                <w:sz w:val="28"/>
                <w:szCs w:val="28"/>
              </w:rPr>
              <w:t>грудня</w:t>
            </w:r>
            <w:proofErr w:type="spellEnd"/>
            <w:r w:rsidRPr="000261B5">
              <w:rPr>
                <w:rFonts w:ascii="Times New Roman" w:hAnsi="Times New Roman"/>
                <w:sz w:val="28"/>
                <w:szCs w:val="28"/>
              </w:rPr>
              <w:t xml:space="preserve"> </w:t>
            </w:r>
            <w:proofErr w:type="spellStart"/>
            <w:r w:rsidRPr="000261B5">
              <w:rPr>
                <w:rFonts w:ascii="Times New Roman" w:hAnsi="Times New Roman"/>
                <w:sz w:val="28"/>
                <w:szCs w:val="28"/>
              </w:rPr>
              <w:t>попереднього</w:t>
            </w:r>
            <w:proofErr w:type="spellEnd"/>
            <w:r w:rsidRPr="000261B5">
              <w:rPr>
                <w:rFonts w:ascii="Times New Roman" w:hAnsi="Times New Roman"/>
                <w:sz w:val="28"/>
                <w:szCs w:val="28"/>
              </w:rPr>
              <w:t xml:space="preserve"> року, </w:t>
            </w:r>
            <w:proofErr w:type="spellStart"/>
            <w:r w:rsidRPr="000261B5">
              <w:rPr>
                <w:rFonts w:ascii="Times New Roman" w:hAnsi="Times New Roman"/>
                <w:sz w:val="28"/>
                <w:szCs w:val="28"/>
              </w:rPr>
              <w:t>відсотки</w:t>
            </w:r>
            <w:proofErr w:type="spellEnd"/>
          </w:p>
        </w:tc>
        <w:tc>
          <w:tcPr>
            <w:tcW w:w="1303"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114,5</w:t>
            </w:r>
          </w:p>
        </w:tc>
        <w:tc>
          <w:tcPr>
            <w:tcW w:w="1382"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117,0</w:t>
            </w:r>
          </w:p>
        </w:tc>
        <w:tc>
          <w:tcPr>
            <w:tcW w:w="1001" w:type="dxa"/>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107,8</w:t>
            </w:r>
          </w:p>
        </w:tc>
        <w:tc>
          <w:tcPr>
            <w:tcW w:w="1127" w:type="dxa"/>
            <w:gridSpan w:val="2"/>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106,2</w:t>
            </w:r>
          </w:p>
        </w:tc>
        <w:tc>
          <w:tcPr>
            <w:tcW w:w="1001" w:type="dxa"/>
            <w:gridSpan w:val="2"/>
            <w:tcBorders>
              <w:top w:val="single" w:sz="4" w:space="0" w:color="auto"/>
              <w:left w:val="single" w:sz="4" w:space="0" w:color="auto"/>
              <w:bottom w:val="single" w:sz="4" w:space="0" w:color="auto"/>
              <w:right w:val="single" w:sz="4" w:space="0" w:color="auto"/>
            </w:tcBorders>
            <w:hideMark/>
          </w:tcPr>
          <w:p w:rsidR="000261B5" w:rsidRPr="000261B5" w:rsidRDefault="000261B5" w:rsidP="000261B5">
            <w:pPr>
              <w:jc w:val="center"/>
              <w:rPr>
                <w:rFonts w:ascii="Times New Roman" w:hAnsi="Times New Roman"/>
                <w:sz w:val="28"/>
                <w:szCs w:val="28"/>
              </w:rPr>
            </w:pPr>
            <w:r w:rsidRPr="000261B5">
              <w:rPr>
                <w:rFonts w:ascii="Times New Roman" w:hAnsi="Times New Roman"/>
                <w:sz w:val="28"/>
                <w:szCs w:val="28"/>
              </w:rPr>
              <w:t>105,7</w:t>
            </w:r>
          </w:p>
        </w:tc>
      </w:tr>
    </w:tbl>
    <w:p w:rsidR="000261B5" w:rsidRPr="000261B5" w:rsidRDefault="000261B5" w:rsidP="000261B5">
      <w:pPr>
        <w:tabs>
          <w:tab w:val="left" w:pos="1860"/>
        </w:tabs>
        <w:spacing w:after="0" w:line="240" w:lineRule="auto"/>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В 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некомерційними підприємствами охорони здоров’я.</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Враховані також обсяги видатків, необхідні для забезпечення стабільної роботи установ та закладів соціально – культурної сфери та охорони здоров'я, надання соціальних гарантій для </w:t>
      </w:r>
      <w:proofErr w:type="spellStart"/>
      <w:r w:rsidRPr="000261B5">
        <w:rPr>
          <w:rFonts w:ascii="Times New Roman" w:hAnsi="Times New Roman"/>
          <w:sz w:val="28"/>
          <w:szCs w:val="28"/>
          <w:lang w:val="uk-UA" w:eastAsia="ru-RU"/>
        </w:rPr>
        <w:t>малозахищених</w:t>
      </w:r>
      <w:proofErr w:type="spellEnd"/>
      <w:r w:rsidRPr="000261B5">
        <w:rPr>
          <w:rFonts w:ascii="Times New Roman" w:hAnsi="Times New Roman"/>
          <w:sz w:val="28"/>
          <w:szCs w:val="28"/>
          <w:lang w:val="uk-UA" w:eastAsia="ru-RU"/>
        </w:rPr>
        <w:t xml:space="preserve"> категорій громадян, підтримки в належному стані об’єктів </w:t>
      </w:r>
      <w:proofErr w:type="spellStart"/>
      <w:r w:rsidRPr="000261B5">
        <w:rPr>
          <w:rFonts w:ascii="Times New Roman" w:hAnsi="Times New Roman"/>
          <w:sz w:val="28"/>
          <w:szCs w:val="28"/>
          <w:lang w:val="uk-UA" w:eastAsia="ru-RU"/>
        </w:rPr>
        <w:t>житлово</w:t>
      </w:r>
      <w:proofErr w:type="spellEnd"/>
      <w:r w:rsidRPr="000261B5">
        <w:rPr>
          <w:rFonts w:ascii="Times New Roman" w:hAnsi="Times New Roman"/>
          <w:sz w:val="28"/>
          <w:szCs w:val="28"/>
          <w:lang w:val="uk-UA" w:eastAsia="ru-RU"/>
        </w:rPr>
        <w:t xml:space="preserve"> – комунального господарства, інших об’єктів інфраструктури міста, впровадження заходів з енергозбереження (енергоефективності), виконання в межах фінансових можливостей міських цільових (комплексних) програм, але необхідно</w:t>
      </w:r>
      <w:r w:rsidRPr="000261B5">
        <w:rPr>
          <w:rFonts w:ascii="Times New Roman" w:hAnsi="Times New Roman"/>
          <w:sz w:val="28"/>
          <w:szCs w:val="28"/>
          <w:lang w:val="uk-UA"/>
        </w:rPr>
        <w:t xml:space="preserve"> вжити заходи щодо економії та підвищення ефективності використання бюджетних коштів</w:t>
      </w:r>
      <w:r w:rsidRPr="000261B5">
        <w:rPr>
          <w:rFonts w:ascii="Times New Roman" w:hAnsi="Times New Roman"/>
          <w:sz w:val="28"/>
          <w:szCs w:val="28"/>
          <w:lang w:val="uk-UA" w:eastAsia="ru-RU"/>
        </w:rPr>
        <w:t xml:space="preserve">, у зв'язку з підвищенням розмірів мінімальної заробітної плати та посадового окладу працівника першого тарифного розряду Єдиної тарифної сітки, вартості енергоносіїв та комунальних послуг та цін на обладнання, паливо, продукти </w:t>
      </w:r>
      <w:r w:rsidRPr="000261B5">
        <w:rPr>
          <w:rFonts w:ascii="Times New Roman" w:hAnsi="Times New Roman"/>
          <w:sz w:val="28"/>
          <w:szCs w:val="28"/>
          <w:lang w:val="uk-UA" w:eastAsia="ru-RU"/>
        </w:rPr>
        <w:lastRenderedPageBreak/>
        <w:t xml:space="preserve">харчування та господарські товари. Так як надходження до бюджету </w:t>
      </w:r>
      <w:proofErr w:type="spellStart"/>
      <w:r w:rsidRPr="000261B5">
        <w:rPr>
          <w:rFonts w:ascii="Times New Roman" w:hAnsi="Times New Roman"/>
          <w:sz w:val="28"/>
          <w:szCs w:val="28"/>
          <w:lang w:val="uk-UA" w:eastAsia="ru-RU"/>
        </w:rPr>
        <w:t>розрахунково</w:t>
      </w:r>
      <w:proofErr w:type="spellEnd"/>
      <w:r w:rsidRPr="000261B5">
        <w:rPr>
          <w:rFonts w:ascii="Times New Roman" w:hAnsi="Times New Roman"/>
          <w:sz w:val="28"/>
          <w:szCs w:val="28"/>
          <w:lang w:val="uk-UA" w:eastAsia="ru-RU"/>
        </w:rPr>
        <w:t xml:space="preserve"> зростають не суттєво на фоні недовиконання надходжень поточного 2021 року, то відповідно видатки розраховані на покриття мінімальних показників бюджету </w:t>
      </w:r>
      <w:r w:rsidRPr="000261B5">
        <w:rPr>
          <w:rFonts w:ascii="Times New Roman" w:hAnsi="Times New Roman"/>
          <w:sz w:val="28"/>
          <w:szCs w:val="28"/>
          <w:lang w:val="uk-UA"/>
        </w:rPr>
        <w:t>Новоукраїнської  міської  територіальної громади</w:t>
      </w:r>
      <w:r w:rsidRPr="000261B5">
        <w:rPr>
          <w:rFonts w:ascii="Times New Roman" w:hAnsi="Times New Roman"/>
          <w:sz w:val="28"/>
          <w:szCs w:val="28"/>
          <w:lang w:val="uk-UA" w:eastAsia="ru-RU"/>
        </w:rPr>
        <w:t>.</w:t>
      </w:r>
    </w:p>
    <w:p w:rsidR="000261B5" w:rsidRPr="000261B5" w:rsidRDefault="000261B5" w:rsidP="000261B5">
      <w:pPr>
        <w:tabs>
          <w:tab w:val="left" w:pos="1860"/>
        </w:tabs>
        <w:spacing w:after="0" w:line="240" w:lineRule="auto"/>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r w:rsidRPr="000261B5">
        <w:rPr>
          <w:rFonts w:ascii="Times New Roman" w:hAnsi="Times New Roman"/>
          <w:b/>
          <w:sz w:val="28"/>
          <w:szCs w:val="28"/>
          <w:lang w:val="uk-UA" w:eastAsia="ru-RU"/>
        </w:rPr>
        <w:t>Освіта</w:t>
      </w: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Цілі державної політики у сфері освіти реалізуються головними розпорядниками бюджетних коштів - відділом освіти, відділом культури і туризму (додаток 6) та у середньостроковій перспективі будуть направлені на:</w:t>
      </w:r>
    </w:p>
    <w:p w:rsidR="000261B5" w:rsidRPr="000261B5" w:rsidRDefault="000261B5" w:rsidP="000261B5">
      <w:pPr>
        <w:spacing w:after="0" w:line="240" w:lineRule="auto"/>
        <w:ind w:firstLine="709"/>
        <w:jc w:val="both"/>
        <w:rPr>
          <w:rFonts w:ascii="Times New Roman" w:eastAsia="Times New Roman" w:hAnsi="Times New Roman"/>
          <w:sz w:val="28"/>
          <w:szCs w:val="24"/>
          <w:lang w:val="uk-UA" w:eastAsia="ru-RU"/>
        </w:rPr>
      </w:pPr>
      <w:r w:rsidRPr="000261B5">
        <w:rPr>
          <w:rFonts w:ascii="Times New Roman" w:eastAsia="Times New Roman" w:hAnsi="Times New Roman"/>
          <w:sz w:val="28"/>
          <w:szCs w:val="24"/>
          <w:lang w:val="uk-UA" w:eastAsia="ru-RU"/>
        </w:rPr>
        <w:t>створення оптимальної мережі закладів дошкільної, загальної середньої  освіти та покращення матеріально-технічного забезпечення закладів;</w:t>
      </w:r>
    </w:p>
    <w:p w:rsidR="000261B5" w:rsidRPr="000261B5" w:rsidRDefault="000261B5" w:rsidP="000261B5">
      <w:pPr>
        <w:spacing w:after="0" w:line="240" w:lineRule="auto"/>
        <w:ind w:firstLine="709"/>
        <w:jc w:val="both"/>
        <w:rPr>
          <w:rFonts w:ascii="Times New Roman" w:eastAsia="Times New Roman" w:hAnsi="Times New Roman"/>
          <w:sz w:val="28"/>
          <w:szCs w:val="24"/>
          <w:lang w:val="uk-UA" w:eastAsia="ru-RU"/>
        </w:rPr>
      </w:pPr>
      <w:r w:rsidRPr="000261B5">
        <w:rPr>
          <w:rFonts w:ascii="Times New Roman" w:eastAsia="Times New Roman" w:hAnsi="Times New Roman"/>
          <w:sz w:val="28"/>
          <w:szCs w:val="24"/>
          <w:lang w:val="uk-UA" w:eastAsia="ru-RU"/>
        </w:rPr>
        <w:t>надання якісної, сучасної та доступної загальної середньої освіти;</w:t>
      </w:r>
    </w:p>
    <w:p w:rsidR="000261B5" w:rsidRPr="000261B5" w:rsidRDefault="000261B5" w:rsidP="000261B5">
      <w:pPr>
        <w:spacing w:after="0" w:line="240" w:lineRule="auto"/>
        <w:ind w:firstLine="709"/>
        <w:jc w:val="both"/>
        <w:rPr>
          <w:rFonts w:ascii="Times New Roman" w:eastAsia="Times New Roman" w:hAnsi="Times New Roman"/>
          <w:sz w:val="28"/>
          <w:szCs w:val="24"/>
          <w:lang w:val="uk-UA" w:eastAsia="ru-RU"/>
        </w:rPr>
      </w:pPr>
      <w:r w:rsidRPr="000261B5">
        <w:rPr>
          <w:rFonts w:ascii="Times New Roman" w:eastAsia="Times New Roman" w:hAnsi="Times New Roman"/>
          <w:sz w:val="28"/>
          <w:szCs w:val="24"/>
          <w:lang w:val="uk-UA" w:eastAsia="ru-RU"/>
        </w:rPr>
        <w:t>підтримка обдарованих дітей та молоді;</w:t>
      </w:r>
    </w:p>
    <w:p w:rsidR="000261B5" w:rsidRPr="000261B5" w:rsidRDefault="000261B5" w:rsidP="000261B5">
      <w:pPr>
        <w:spacing w:after="0" w:line="240" w:lineRule="auto"/>
        <w:ind w:firstLine="709"/>
        <w:jc w:val="both"/>
        <w:rPr>
          <w:rFonts w:ascii="Times New Roman" w:eastAsia="Times New Roman" w:hAnsi="Times New Roman"/>
          <w:sz w:val="28"/>
          <w:szCs w:val="24"/>
          <w:lang w:val="uk-UA" w:eastAsia="ru-RU"/>
        </w:rPr>
      </w:pPr>
      <w:r w:rsidRPr="000261B5">
        <w:rPr>
          <w:rFonts w:ascii="Times New Roman" w:eastAsia="Times New Roman" w:hAnsi="Times New Roman"/>
          <w:sz w:val="28"/>
          <w:szCs w:val="24"/>
          <w:lang w:val="uk-UA" w:eastAsia="ru-RU"/>
        </w:rPr>
        <w:t>розвиток мережі творчих об'єднань, гуртків, секцій сучасних напрямків позашкільної освіти з урахуванням бажань дітей та створення для цього відповідної матеріально-технічної бази;</w:t>
      </w:r>
    </w:p>
    <w:p w:rsidR="000261B5" w:rsidRPr="000261B5" w:rsidRDefault="000261B5" w:rsidP="000261B5">
      <w:pPr>
        <w:spacing w:after="0" w:line="240" w:lineRule="auto"/>
        <w:ind w:firstLine="709"/>
        <w:jc w:val="both"/>
        <w:rPr>
          <w:rFonts w:ascii="Times New Roman" w:eastAsia="Times New Roman" w:hAnsi="Times New Roman"/>
          <w:sz w:val="28"/>
          <w:szCs w:val="24"/>
          <w:lang w:val="uk-UA" w:eastAsia="ru-RU"/>
        </w:rPr>
      </w:pPr>
      <w:r w:rsidRPr="000261B5">
        <w:rPr>
          <w:rFonts w:ascii="Times New Roman" w:eastAsia="Times New Roman" w:hAnsi="Times New Roman"/>
          <w:sz w:val="28"/>
          <w:szCs w:val="24"/>
          <w:lang w:val="uk-UA" w:eastAsia="ru-RU"/>
        </w:rPr>
        <w:t>впровадження тепло - та енергозберігаючих технологій у навчальних закладах області.</w:t>
      </w:r>
    </w:p>
    <w:p w:rsidR="000261B5" w:rsidRPr="000261B5" w:rsidRDefault="000261B5" w:rsidP="000261B5">
      <w:pPr>
        <w:spacing w:after="0" w:line="240" w:lineRule="auto"/>
        <w:ind w:firstLine="709"/>
        <w:jc w:val="both"/>
        <w:rPr>
          <w:rFonts w:ascii="Times New Roman" w:eastAsia="Times New Roman" w:hAnsi="Times New Roman"/>
          <w:sz w:val="28"/>
          <w:szCs w:val="24"/>
          <w:lang w:val="uk-UA" w:eastAsia="ru-RU"/>
        </w:rPr>
      </w:pPr>
      <w:r w:rsidRPr="000261B5">
        <w:rPr>
          <w:rFonts w:ascii="Times New Roman" w:eastAsia="Times New Roman" w:hAnsi="Times New Roman"/>
          <w:sz w:val="28"/>
          <w:szCs w:val="24"/>
          <w:lang w:val="uk-UA" w:eastAsia="ru-RU"/>
        </w:rPr>
        <w:t>створення нового освітнього простору;</w:t>
      </w:r>
    </w:p>
    <w:p w:rsidR="000261B5" w:rsidRPr="000261B5" w:rsidRDefault="000261B5" w:rsidP="000261B5">
      <w:pPr>
        <w:spacing w:after="0" w:line="240" w:lineRule="auto"/>
        <w:ind w:firstLine="709"/>
        <w:jc w:val="both"/>
        <w:rPr>
          <w:rFonts w:ascii="Times New Roman" w:eastAsia="Times New Roman" w:hAnsi="Times New Roman"/>
          <w:sz w:val="28"/>
          <w:szCs w:val="24"/>
          <w:lang w:val="uk-UA" w:eastAsia="ru-RU"/>
        </w:rPr>
      </w:pPr>
      <w:r w:rsidRPr="000261B5">
        <w:rPr>
          <w:rFonts w:ascii="Times New Roman" w:eastAsia="Times New Roman" w:hAnsi="Times New Roman"/>
          <w:sz w:val="28"/>
          <w:szCs w:val="24"/>
          <w:lang w:val="uk-UA" w:eastAsia="ru-RU"/>
        </w:rPr>
        <w:t>покращення стану харчування, введення нових рецептур страв та придбання нового обладнання для харчоблоків;</w:t>
      </w:r>
    </w:p>
    <w:p w:rsidR="000261B5" w:rsidRPr="000261B5" w:rsidRDefault="000261B5" w:rsidP="000261B5">
      <w:pPr>
        <w:spacing w:after="0" w:line="240" w:lineRule="auto"/>
        <w:ind w:firstLine="709"/>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оснащення навчальних закладів сучасним комп’ютерним та мультимедійним обладнанням;</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забезпечення закладів загальної середньої освіти сучасним навчальним обладнанням та оновлення матеріально-технічної бази;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розбудова безпечної та інклюзивної системи освіти за допомогою наближення освітніх послуг учням з особливими освітніми потребами максимально до місця їх проживання, врахування індивідуальних потреб і можливостей таких здобувачів освіти;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забезпечення функціонування ефективного та доступного інклюзивно-ресурсного центру;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забезпечення доступності мистецької і позашкільної освіти та інтегрування її в європейський простір;</w:t>
      </w:r>
    </w:p>
    <w:p w:rsidR="000261B5" w:rsidRPr="000261B5" w:rsidRDefault="000261B5" w:rsidP="000261B5">
      <w:pPr>
        <w:spacing w:after="0" w:line="240" w:lineRule="auto"/>
        <w:ind w:firstLine="709"/>
        <w:jc w:val="both"/>
        <w:rPr>
          <w:rFonts w:ascii="Times New Roman" w:eastAsia="Times New Roman" w:hAnsi="Times New Roman"/>
          <w:sz w:val="28"/>
          <w:szCs w:val="28"/>
          <w:lang w:val="uk-UA" w:eastAsia="x-none"/>
        </w:rPr>
      </w:pPr>
      <w:r w:rsidRPr="000261B5">
        <w:rPr>
          <w:rFonts w:ascii="Times New Roman" w:eastAsia="Times New Roman" w:hAnsi="Times New Roman"/>
          <w:sz w:val="28"/>
          <w:szCs w:val="28"/>
          <w:lang w:val="uk-UA" w:eastAsia="x-none"/>
        </w:rPr>
        <w:t>підготовка навчальних закладів до опалювального сезону: здійснення поточних ремонтів котелень, тепломереж, придбання колісників, палива,</w:t>
      </w:r>
      <w:r w:rsidRPr="000261B5">
        <w:rPr>
          <w:rFonts w:ascii="Times New Roman" w:eastAsia="Times New Roman" w:hAnsi="Times New Roman"/>
          <w:sz w:val="28"/>
          <w:szCs w:val="20"/>
          <w:lang w:val="uk-UA" w:eastAsia="x-none"/>
        </w:rPr>
        <w:t xml:space="preserve"> придбання запасних частин та ремонт генераторів для котелень </w:t>
      </w:r>
      <w:r w:rsidRPr="000261B5">
        <w:rPr>
          <w:rFonts w:ascii="Times New Roman" w:eastAsia="Times New Roman" w:hAnsi="Times New Roman"/>
          <w:sz w:val="28"/>
          <w:szCs w:val="28"/>
          <w:lang w:val="uk-UA" w:eastAsia="x-none"/>
        </w:rPr>
        <w:t>та інші заходи;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Основні результати, яких планується досягти: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створення нового освітнього середовища, яке відповідає вимогам сьогодення;</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забезпечення доступної дошкільної, загальної середньої та позашкільної освіти з урахуванням демографічних та економічних реалій;</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сприяння підвищенню мотивації учнів до навчання, а вчителів - до професійного розвитку;</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lastRenderedPageBreak/>
        <w:t>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Реалізація освітніх послуг буде здійснюватися через існуючу мережу закладів освіти, яка включає 5 закладів дошкільної освіти (</w:t>
      </w:r>
      <w:proofErr w:type="spellStart"/>
      <w:r w:rsidRPr="000261B5">
        <w:rPr>
          <w:rFonts w:ascii="Times New Roman" w:hAnsi="Times New Roman"/>
          <w:sz w:val="28"/>
          <w:szCs w:val="28"/>
          <w:lang w:val="uk-UA" w:eastAsia="ru-RU"/>
        </w:rPr>
        <w:t>Новоукраїнські</w:t>
      </w:r>
      <w:proofErr w:type="spellEnd"/>
      <w:r w:rsidRPr="000261B5">
        <w:rPr>
          <w:rFonts w:ascii="Times New Roman" w:hAnsi="Times New Roman"/>
          <w:sz w:val="28"/>
          <w:szCs w:val="28"/>
          <w:lang w:val="uk-UA" w:eastAsia="ru-RU"/>
        </w:rPr>
        <w:t xml:space="preserve"> комунальні ДНЗ №1 "Ромашка", №5 "Берізка", ЗДО "Зернятко", </w:t>
      </w:r>
      <w:proofErr w:type="spellStart"/>
      <w:r w:rsidRPr="000261B5">
        <w:rPr>
          <w:rFonts w:ascii="Times New Roman" w:hAnsi="Times New Roman"/>
          <w:sz w:val="28"/>
          <w:szCs w:val="28"/>
          <w:lang w:val="uk-UA" w:eastAsia="ru-RU"/>
        </w:rPr>
        <w:t>Захарівський</w:t>
      </w:r>
      <w:proofErr w:type="spellEnd"/>
      <w:r w:rsidRPr="000261B5">
        <w:rPr>
          <w:rFonts w:ascii="Times New Roman" w:hAnsi="Times New Roman"/>
          <w:sz w:val="28"/>
          <w:szCs w:val="28"/>
          <w:lang w:val="uk-UA" w:eastAsia="ru-RU"/>
        </w:rPr>
        <w:t xml:space="preserve"> комунальний ЗДО "Казка" і </w:t>
      </w:r>
      <w:proofErr w:type="spellStart"/>
      <w:r w:rsidRPr="000261B5">
        <w:rPr>
          <w:rFonts w:ascii="Times New Roman" w:hAnsi="Times New Roman"/>
          <w:sz w:val="28"/>
          <w:szCs w:val="28"/>
          <w:lang w:val="uk-UA" w:eastAsia="ru-RU"/>
        </w:rPr>
        <w:t>Фуманівський</w:t>
      </w:r>
      <w:proofErr w:type="spellEnd"/>
      <w:r w:rsidRPr="000261B5">
        <w:rPr>
          <w:rFonts w:ascii="Times New Roman" w:hAnsi="Times New Roman"/>
          <w:sz w:val="28"/>
          <w:szCs w:val="28"/>
          <w:lang w:val="uk-UA" w:eastAsia="ru-RU"/>
        </w:rPr>
        <w:t xml:space="preserve"> комунальний ЗДО "Малятко");                  2 філії (філія "Барвінок" і </w:t>
      </w:r>
      <w:proofErr w:type="spellStart"/>
      <w:r w:rsidRPr="000261B5">
        <w:rPr>
          <w:rFonts w:ascii="Times New Roman" w:hAnsi="Times New Roman"/>
          <w:sz w:val="28"/>
          <w:szCs w:val="28"/>
          <w:lang w:val="uk-UA" w:eastAsia="ru-RU"/>
        </w:rPr>
        <w:t>Звірівська</w:t>
      </w:r>
      <w:proofErr w:type="spellEnd"/>
      <w:r w:rsidRPr="000261B5">
        <w:rPr>
          <w:rFonts w:ascii="Times New Roman" w:hAnsi="Times New Roman"/>
          <w:sz w:val="28"/>
          <w:szCs w:val="28"/>
          <w:lang w:val="uk-UA" w:eastAsia="ru-RU"/>
        </w:rPr>
        <w:t xml:space="preserve"> філія комунального ЗДО "Зернятко") та         2 дошкільних підрозділи (</w:t>
      </w:r>
      <w:proofErr w:type="spellStart"/>
      <w:r w:rsidRPr="000261B5">
        <w:rPr>
          <w:rFonts w:ascii="Times New Roman" w:hAnsi="Times New Roman"/>
          <w:sz w:val="28"/>
          <w:szCs w:val="28"/>
          <w:lang w:val="uk-UA" w:eastAsia="ru-RU"/>
        </w:rPr>
        <w:t>Воронівської</w:t>
      </w:r>
      <w:proofErr w:type="spellEnd"/>
      <w:r w:rsidRPr="000261B5">
        <w:rPr>
          <w:rFonts w:ascii="Times New Roman" w:hAnsi="Times New Roman"/>
          <w:sz w:val="28"/>
          <w:szCs w:val="28"/>
          <w:lang w:val="uk-UA" w:eastAsia="ru-RU"/>
        </w:rPr>
        <w:t xml:space="preserve"> та </w:t>
      </w:r>
      <w:proofErr w:type="spellStart"/>
      <w:r w:rsidRPr="000261B5">
        <w:rPr>
          <w:rFonts w:ascii="Times New Roman" w:hAnsi="Times New Roman"/>
          <w:sz w:val="28"/>
          <w:szCs w:val="28"/>
          <w:lang w:val="uk-UA" w:eastAsia="ru-RU"/>
        </w:rPr>
        <w:t>Мар'янопільської</w:t>
      </w:r>
      <w:proofErr w:type="spellEnd"/>
      <w:r w:rsidRPr="000261B5">
        <w:rPr>
          <w:rFonts w:ascii="Times New Roman" w:hAnsi="Times New Roman"/>
          <w:sz w:val="28"/>
          <w:szCs w:val="28"/>
          <w:lang w:val="uk-UA" w:eastAsia="ru-RU"/>
        </w:rPr>
        <w:t xml:space="preserve"> філії Новоукраїнської НВК №8 "Ліцей – заклад дошкільної освіти"); 5 закладів загальної середньої освіти та 5 їх філій; 2 заклади позашкільної освіти (центр дитячої та юнацької творчості "</w:t>
      </w:r>
      <w:proofErr w:type="spellStart"/>
      <w:r w:rsidRPr="000261B5">
        <w:rPr>
          <w:rFonts w:ascii="Times New Roman" w:hAnsi="Times New Roman"/>
          <w:sz w:val="28"/>
          <w:szCs w:val="28"/>
          <w:lang w:val="uk-UA" w:eastAsia="ru-RU"/>
        </w:rPr>
        <w:t>Зоріт</w:t>
      </w:r>
      <w:proofErr w:type="spellEnd"/>
      <w:r w:rsidRPr="000261B5">
        <w:rPr>
          <w:rFonts w:ascii="Times New Roman" w:hAnsi="Times New Roman"/>
          <w:sz w:val="28"/>
          <w:szCs w:val="28"/>
          <w:lang w:val="uk-UA" w:eastAsia="ru-RU"/>
        </w:rPr>
        <w:t xml:space="preserve">" та </w:t>
      </w:r>
      <w:proofErr w:type="spellStart"/>
      <w:r w:rsidRPr="000261B5">
        <w:rPr>
          <w:rFonts w:ascii="Times New Roman" w:hAnsi="Times New Roman"/>
          <w:sz w:val="28"/>
          <w:szCs w:val="28"/>
          <w:lang w:val="uk-UA" w:eastAsia="ru-RU"/>
        </w:rPr>
        <w:t>Новоукраїнський</w:t>
      </w:r>
      <w:proofErr w:type="spellEnd"/>
      <w:r w:rsidRPr="000261B5">
        <w:rPr>
          <w:rFonts w:ascii="Times New Roman" w:hAnsi="Times New Roman"/>
          <w:sz w:val="28"/>
          <w:szCs w:val="28"/>
          <w:lang w:val="uk-UA" w:eastAsia="ru-RU"/>
        </w:rPr>
        <w:t xml:space="preserve"> МНВК); 1 дитяча музична школа.</w:t>
      </w:r>
    </w:p>
    <w:p w:rsidR="000261B5" w:rsidRPr="000261B5" w:rsidRDefault="000261B5" w:rsidP="000261B5">
      <w:pPr>
        <w:spacing w:after="0" w:line="240" w:lineRule="auto"/>
        <w:ind w:firstLine="709"/>
        <w:jc w:val="both"/>
        <w:rPr>
          <w:rFonts w:ascii="Times New Roman" w:eastAsia="Times New Roman" w:hAnsi="Times New Roman"/>
          <w:sz w:val="28"/>
          <w:szCs w:val="24"/>
          <w:lang w:val="uk-UA" w:eastAsia="ru-RU"/>
        </w:rPr>
      </w:pPr>
    </w:p>
    <w:p w:rsidR="000261B5" w:rsidRPr="000261B5" w:rsidRDefault="000261B5" w:rsidP="000261B5">
      <w:pPr>
        <w:keepNext/>
        <w:spacing w:after="0" w:line="240" w:lineRule="auto"/>
        <w:jc w:val="center"/>
        <w:outlineLvl w:val="0"/>
        <w:rPr>
          <w:rFonts w:ascii="Times New Roman" w:eastAsia="Times New Roman" w:hAnsi="Times New Roman"/>
          <w:b/>
          <w:sz w:val="28"/>
          <w:szCs w:val="28"/>
          <w:lang w:val="uk-UA" w:eastAsia="ru-RU"/>
        </w:rPr>
      </w:pPr>
      <w:r w:rsidRPr="000261B5">
        <w:rPr>
          <w:rFonts w:ascii="Times New Roman" w:eastAsia="Times New Roman" w:hAnsi="Times New Roman"/>
          <w:b/>
          <w:sz w:val="28"/>
          <w:szCs w:val="28"/>
          <w:lang w:val="uk-UA" w:eastAsia="ru-RU"/>
        </w:rPr>
        <w:t>Фізична культура і спорт</w:t>
      </w:r>
    </w:p>
    <w:p w:rsidR="000261B5" w:rsidRPr="000261B5" w:rsidRDefault="000261B5" w:rsidP="000261B5">
      <w:pPr>
        <w:keepNext/>
        <w:spacing w:after="0" w:line="240" w:lineRule="auto"/>
        <w:jc w:val="center"/>
        <w:outlineLvl w:val="0"/>
        <w:rPr>
          <w:rFonts w:ascii="Times New Roman" w:eastAsia="Times New Roman" w:hAnsi="Times New Roman"/>
          <w:b/>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Цілями державної політики у сфері фізичної культури та спорту, які реалізує головний розпорядник бюджетних коштів – виконавчий комітет </w:t>
      </w:r>
      <w:r w:rsidRPr="000261B5">
        <w:rPr>
          <w:rFonts w:ascii="Times New Roman" w:hAnsi="Times New Roman"/>
          <w:bCs/>
          <w:sz w:val="28"/>
          <w:szCs w:val="28"/>
          <w:lang w:val="uk-UA" w:eastAsia="ru-RU"/>
        </w:rPr>
        <w:t>Новоукраїнської  міської  ради</w:t>
      </w:r>
      <w:r w:rsidRPr="000261B5">
        <w:rPr>
          <w:rFonts w:ascii="Times New Roman" w:hAnsi="Times New Roman"/>
          <w:sz w:val="28"/>
          <w:szCs w:val="28"/>
          <w:lang w:val="uk-UA" w:eastAsia="ru-RU"/>
        </w:rPr>
        <w:t xml:space="preserve"> (додаток 6), є створення умов для розвитку індивідуальних здібностей спортсменів та досягнення високих спортивних результатів. Прогнозні граничні показники видатків головним розпорядником коштів направлені на КПКВ 5031 "Утримання та навчально-тренувальна робота комунальних дитячо-юнацьких спортивних шкіл" на фінансування дитячо-юнацької спортивної школи та на проведення навчально-тренувальних зборів і змагань за КПКВ 5011 "Проведення навчально-тренувальних зборів і змагань з олімпійських видів спорту".</w:t>
      </w:r>
    </w:p>
    <w:p w:rsidR="000261B5" w:rsidRPr="000261B5" w:rsidRDefault="000261B5" w:rsidP="000261B5">
      <w:pPr>
        <w:tabs>
          <w:tab w:val="left" w:pos="708"/>
          <w:tab w:val="left" w:pos="1125"/>
        </w:tabs>
        <w:spacing w:after="0" w:line="240" w:lineRule="auto"/>
        <w:ind w:firstLine="709"/>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Протягом 2022-2024 років планується досягти наступних результатів:</w:t>
      </w:r>
    </w:p>
    <w:p w:rsidR="000261B5" w:rsidRPr="000261B5" w:rsidRDefault="000261B5" w:rsidP="000261B5">
      <w:pPr>
        <w:tabs>
          <w:tab w:val="left" w:pos="708"/>
          <w:tab w:val="left" w:pos="1125"/>
        </w:tabs>
        <w:spacing w:after="0" w:line="240" w:lineRule="auto"/>
        <w:ind w:firstLine="709"/>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залучення населення до регулярних занять фізичною культурою і масовим спортом та розвиток інфраструктури масового спорту;</w:t>
      </w:r>
    </w:p>
    <w:p w:rsidR="000261B5" w:rsidRPr="000261B5" w:rsidRDefault="000261B5" w:rsidP="000261B5">
      <w:pPr>
        <w:tabs>
          <w:tab w:val="left" w:pos="708"/>
          <w:tab w:val="left" w:pos="1125"/>
        </w:tabs>
        <w:spacing w:after="0" w:line="240" w:lineRule="auto"/>
        <w:ind w:firstLine="709"/>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сприяння покращення матеріально-технічної бази ДЮСШ;</w:t>
      </w:r>
    </w:p>
    <w:p w:rsidR="000261B5" w:rsidRPr="000261B5" w:rsidRDefault="000261B5" w:rsidP="000261B5">
      <w:pPr>
        <w:tabs>
          <w:tab w:val="left" w:pos="708"/>
          <w:tab w:val="left" w:pos="1125"/>
        </w:tabs>
        <w:spacing w:after="0" w:line="240" w:lineRule="auto"/>
        <w:ind w:firstLine="709"/>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забезпечення проведення міських змагань та участь команд громади у обласних та всеукраїнських заходах;</w:t>
      </w:r>
    </w:p>
    <w:p w:rsidR="000261B5" w:rsidRPr="000261B5" w:rsidRDefault="000261B5" w:rsidP="000261B5">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 xml:space="preserve">виготовлення проекту та реконструкція спортивного майданчика для міні-футболу зі штучним покриттям у </w:t>
      </w:r>
      <w:proofErr w:type="spellStart"/>
      <w:r w:rsidRPr="000261B5">
        <w:rPr>
          <w:rFonts w:ascii="Times New Roman" w:eastAsia="Times New Roman" w:hAnsi="Times New Roman"/>
          <w:sz w:val="28"/>
          <w:szCs w:val="28"/>
          <w:lang w:val="uk-UA" w:eastAsia="ru-RU"/>
        </w:rPr>
        <w:t>Новоукраїнській</w:t>
      </w:r>
      <w:proofErr w:type="spellEnd"/>
      <w:r w:rsidRPr="000261B5">
        <w:rPr>
          <w:rFonts w:ascii="Times New Roman" w:eastAsia="Times New Roman" w:hAnsi="Times New Roman"/>
          <w:sz w:val="28"/>
          <w:szCs w:val="28"/>
          <w:lang w:val="uk-UA" w:eastAsia="ru-RU"/>
        </w:rPr>
        <w:t xml:space="preserve"> загальноосвітній школі І-ІІІ ступенів № 4 Новоукраїнської міської ради по вул. Толстого, 7;</w:t>
      </w:r>
    </w:p>
    <w:p w:rsidR="000261B5" w:rsidRPr="000261B5" w:rsidRDefault="000261B5" w:rsidP="000261B5">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збільшення охоплення громадян фізичною культурою і масовим спортом, особливо дівчаток і жінок, та розвиток інфраструктури масового спорту;</w:t>
      </w:r>
    </w:p>
    <w:p w:rsidR="000261B5" w:rsidRPr="000261B5" w:rsidRDefault="000261B5" w:rsidP="000261B5">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0261B5">
        <w:rPr>
          <w:rFonts w:ascii="Times New Roman" w:eastAsia="Times New Roman" w:hAnsi="Times New Roman"/>
          <w:sz w:val="28"/>
          <w:szCs w:val="28"/>
          <w:lang w:val="uk-UA" w:eastAsia="ru-RU"/>
        </w:rPr>
        <w:t xml:space="preserve">проведення різноманітних фізкультурно-оздоровчих та спортивно-масових заходів, конкурсів, фестивалів, спортивних свят, міських чемпіонатів, кубків, </w:t>
      </w:r>
      <w:proofErr w:type="spellStart"/>
      <w:r w:rsidRPr="000261B5">
        <w:rPr>
          <w:rFonts w:ascii="Times New Roman" w:eastAsia="Times New Roman" w:hAnsi="Times New Roman"/>
          <w:sz w:val="28"/>
          <w:szCs w:val="28"/>
          <w:lang w:val="uk-UA" w:eastAsia="ru-RU"/>
        </w:rPr>
        <w:t>спартакіад</w:t>
      </w:r>
      <w:proofErr w:type="spellEnd"/>
      <w:r w:rsidRPr="000261B5">
        <w:rPr>
          <w:rFonts w:ascii="Times New Roman" w:eastAsia="Times New Roman" w:hAnsi="Times New Roman"/>
          <w:sz w:val="28"/>
          <w:szCs w:val="28"/>
          <w:lang w:val="uk-UA" w:eastAsia="ru-RU"/>
        </w:rPr>
        <w:t>, турнірів;</w:t>
      </w:r>
    </w:p>
    <w:p w:rsidR="000261B5" w:rsidRPr="000261B5" w:rsidRDefault="000261B5" w:rsidP="000261B5">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0261B5">
        <w:rPr>
          <w:rFonts w:ascii="Times New Roman" w:eastAsia="Times New Roman" w:hAnsi="Times New Roman"/>
          <w:spacing w:val="2"/>
          <w:sz w:val="28"/>
          <w:szCs w:val="28"/>
          <w:lang w:val="uk-UA" w:eastAsia="ru-RU"/>
        </w:rPr>
        <w:t>покращення матеріально-технічного забезпечення дитячо-юнацької спортивної школи;</w:t>
      </w:r>
    </w:p>
    <w:p w:rsidR="000261B5" w:rsidRPr="000261B5" w:rsidRDefault="000261B5" w:rsidP="000261B5">
      <w:pPr>
        <w:keepNext/>
        <w:spacing w:after="0" w:line="240" w:lineRule="auto"/>
        <w:ind w:firstLine="720"/>
        <w:jc w:val="both"/>
        <w:outlineLvl w:val="6"/>
        <w:rPr>
          <w:rFonts w:ascii="Times New Roman" w:eastAsia="Times New Roman" w:hAnsi="Times New Roman"/>
          <w:bCs/>
          <w:sz w:val="28"/>
          <w:szCs w:val="28"/>
          <w:lang w:val="uk-UA" w:eastAsia="x-none"/>
        </w:rPr>
      </w:pPr>
      <w:r w:rsidRPr="000261B5">
        <w:rPr>
          <w:rFonts w:ascii="Times New Roman" w:eastAsia="Times New Roman" w:hAnsi="Times New Roman"/>
          <w:bCs/>
          <w:sz w:val="28"/>
          <w:szCs w:val="28"/>
          <w:lang w:val="uk-UA" w:eastAsia="x-none"/>
        </w:rPr>
        <w:t>оновлення існуючих спортивних майданчиків за місцем проживання та у місцях масового відпочинку населення, створення нових майданчиків;</w:t>
      </w:r>
    </w:p>
    <w:p w:rsidR="000261B5" w:rsidRPr="000261B5" w:rsidRDefault="000261B5" w:rsidP="000261B5">
      <w:pPr>
        <w:spacing w:after="0" w:line="240" w:lineRule="auto"/>
        <w:ind w:firstLine="709"/>
        <w:jc w:val="both"/>
        <w:rPr>
          <w:rFonts w:ascii="Times New Roman" w:eastAsia="Times New Roman" w:hAnsi="Times New Roman"/>
          <w:sz w:val="28"/>
          <w:szCs w:val="28"/>
          <w:lang w:val="uk-UA" w:eastAsia="ru-RU"/>
        </w:rPr>
      </w:pPr>
      <w:proofErr w:type="spellStart"/>
      <w:r w:rsidRPr="000261B5">
        <w:rPr>
          <w:rFonts w:ascii="Times New Roman" w:eastAsia="Times New Roman" w:hAnsi="Times New Roman"/>
          <w:sz w:val="28"/>
          <w:szCs w:val="28"/>
          <w:lang w:eastAsia="ru-RU"/>
        </w:rPr>
        <w:t>виготовлення</w:t>
      </w:r>
      <w:proofErr w:type="spellEnd"/>
      <w:r w:rsidRPr="000261B5">
        <w:rPr>
          <w:rFonts w:ascii="Times New Roman" w:eastAsia="Times New Roman" w:hAnsi="Times New Roman"/>
          <w:sz w:val="28"/>
          <w:szCs w:val="28"/>
          <w:lang w:eastAsia="ru-RU"/>
        </w:rPr>
        <w:t xml:space="preserve"> проектно-</w:t>
      </w:r>
      <w:proofErr w:type="spellStart"/>
      <w:r w:rsidRPr="000261B5">
        <w:rPr>
          <w:rFonts w:ascii="Times New Roman" w:eastAsia="Times New Roman" w:hAnsi="Times New Roman"/>
          <w:sz w:val="28"/>
          <w:szCs w:val="28"/>
          <w:lang w:eastAsia="ru-RU"/>
        </w:rPr>
        <w:t>кошторисних</w:t>
      </w:r>
      <w:proofErr w:type="spellEnd"/>
      <w:r w:rsidRPr="000261B5">
        <w:rPr>
          <w:rFonts w:ascii="Times New Roman" w:eastAsia="Times New Roman" w:hAnsi="Times New Roman"/>
          <w:sz w:val="28"/>
          <w:szCs w:val="28"/>
          <w:lang w:eastAsia="ru-RU"/>
        </w:rPr>
        <w:t xml:space="preserve"> </w:t>
      </w:r>
      <w:proofErr w:type="spellStart"/>
      <w:r w:rsidRPr="000261B5">
        <w:rPr>
          <w:rFonts w:ascii="Times New Roman" w:eastAsia="Times New Roman" w:hAnsi="Times New Roman"/>
          <w:sz w:val="28"/>
          <w:szCs w:val="28"/>
          <w:lang w:eastAsia="ru-RU"/>
        </w:rPr>
        <w:t>документацій</w:t>
      </w:r>
      <w:proofErr w:type="spellEnd"/>
      <w:r w:rsidRPr="000261B5">
        <w:rPr>
          <w:rFonts w:ascii="Times New Roman" w:eastAsia="Times New Roman" w:hAnsi="Times New Roman"/>
          <w:sz w:val="28"/>
          <w:szCs w:val="28"/>
          <w:lang w:eastAsia="ru-RU"/>
        </w:rPr>
        <w:t xml:space="preserve"> на </w:t>
      </w:r>
      <w:proofErr w:type="spellStart"/>
      <w:r w:rsidRPr="000261B5">
        <w:rPr>
          <w:rFonts w:ascii="Times New Roman" w:eastAsia="Times New Roman" w:hAnsi="Times New Roman"/>
          <w:sz w:val="28"/>
          <w:szCs w:val="28"/>
          <w:lang w:eastAsia="ru-RU"/>
        </w:rPr>
        <w:t>проведення</w:t>
      </w:r>
      <w:proofErr w:type="spellEnd"/>
      <w:r w:rsidRPr="000261B5">
        <w:rPr>
          <w:rFonts w:ascii="Times New Roman" w:eastAsia="Times New Roman" w:hAnsi="Times New Roman"/>
          <w:sz w:val="28"/>
          <w:szCs w:val="28"/>
          <w:lang w:eastAsia="ru-RU"/>
        </w:rPr>
        <w:t xml:space="preserve"> </w:t>
      </w:r>
      <w:proofErr w:type="spellStart"/>
      <w:r w:rsidRPr="000261B5">
        <w:rPr>
          <w:rFonts w:ascii="Times New Roman" w:eastAsia="Times New Roman" w:hAnsi="Times New Roman"/>
          <w:sz w:val="28"/>
          <w:szCs w:val="28"/>
          <w:lang w:eastAsia="ru-RU"/>
        </w:rPr>
        <w:t>ремонтних</w:t>
      </w:r>
      <w:proofErr w:type="spellEnd"/>
      <w:r w:rsidRPr="000261B5">
        <w:rPr>
          <w:rFonts w:ascii="Times New Roman" w:eastAsia="Times New Roman" w:hAnsi="Times New Roman"/>
          <w:sz w:val="28"/>
          <w:szCs w:val="28"/>
          <w:lang w:eastAsia="ru-RU"/>
        </w:rPr>
        <w:t xml:space="preserve"> </w:t>
      </w:r>
      <w:proofErr w:type="spellStart"/>
      <w:r w:rsidRPr="000261B5">
        <w:rPr>
          <w:rFonts w:ascii="Times New Roman" w:eastAsia="Times New Roman" w:hAnsi="Times New Roman"/>
          <w:sz w:val="28"/>
          <w:szCs w:val="28"/>
          <w:lang w:eastAsia="ru-RU"/>
        </w:rPr>
        <w:t>робіт</w:t>
      </w:r>
      <w:proofErr w:type="spellEnd"/>
      <w:r w:rsidRPr="000261B5">
        <w:rPr>
          <w:rFonts w:ascii="Times New Roman" w:eastAsia="Times New Roman" w:hAnsi="Times New Roman"/>
          <w:sz w:val="28"/>
          <w:szCs w:val="28"/>
          <w:lang w:eastAsia="ru-RU"/>
        </w:rPr>
        <w:t xml:space="preserve"> в </w:t>
      </w:r>
      <w:r w:rsidRPr="000261B5">
        <w:rPr>
          <w:rFonts w:ascii="Times New Roman" w:eastAsia="Times New Roman" w:hAnsi="Times New Roman"/>
          <w:sz w:val="28"/>
          <w:szCs w:val="28"/>
          <w:lang w:val="uk-UA" w:eastAsia="ru-RU"/>
        </w:rPr>
        <w:t xml:space="preserve">сфері спорту та перерахунок існуючих </w:t>
      </w:r>
      <w:r w:rsidRPr="000261B5">
        <w:rPr>
          <w:rFonts w:ascii="Times New Roman" w:eastAsia="Times New Roman" w:hAnsi="Times New Roman"/>
          <w:sz w:val="28"/>
          <w:szCs w:val="28"/>
          <w:lang w:eastAsia="ru-RU"/>
        </w:rPr>
        <w:t>проектно-</w:t>
      </w:r>
      <w:proofErr w:type="spellStart"/>
      <w:r w:rsidRPr="000261B5">
        <w:rPr>
          <w:rFonts w:ascii="Times New Roman" w:eastAsia="Times New Roman" w:hAnsi="Times New Roman"/>
          <w:sz w:val="28"/>
          <w:szCs w:val="28"/>
          <w:lang w:eastAsia="ru-RU"/>
        </w:rPr>
        <w:t>кошторисних</w:t>
      </w:r>
      <w:proofErr w:type="spellEnd"/>
      <w:r w:rsidRPr="000261B5">
        <w:rPr>
          <w:rFonts w:ascii="Times New Roman" w:eastAsia="Times New Roman" w:hAnsi="Times New Roman"/>
          <w:sz w:val="28"/>
          <w:szCs w:val="28"/>
          <w:lang w:eastAsia="ru-RU"/>
        </w:rPr>
        <w:t xml:space="preserve"> </w:t>
      </w:r>
      <w:proofErr w:type="spellStart"/>
      <w:r w:rsidRPr="000261B5">
        <w:rPr>
          <w:rFonts w:ascii="Times New Roman" w:eastAsia="Times New Roman" w:hAnsi="Times New Roman"/>
          <w:sz w:val="28"/>
          <w:szCs w:val="28"/>
          <w:lang w:eastAsia="ru-RU"/>
        </w:rPr>
        <w:t>документацій</w:t>
      </w:r>
      <w:proofErr w:type="spellEnd"/>
      <w:r w:rsidRPr="000261B5">
        <w:rPr>
          <w:rFonts w:ascii="Times New Roman" w:eastAsia="Times New Roman" w:hAnsi="Times New Roman"/>
          <w:sz w:val="28"/>
          <w:szCs w:val="28"/>
          <w:lang w:val="uk-UA" w:eastAsia="ru-RU"/>
        </w:rPr>
        <w:t xml:space="preserve"> </w:t>
      </w:r>
      <w:proofErr w:type="gramStart"/>
      <w:r w:rsidRPr="000261B5">
        <w:rPr>
          <w:rFonts w:ascii="Times New Roman" w:eastAsia="Times New Roman" w:hAnsi="Times New Roman"/>
          <w:sz w:val="28"/>
          <w:szCs w:val="28"/>
          <w:lang w:val="uk-UA" w:eastAsia="ru-RU"/>
        </w:rPr>
        <w:t>у</w:t>
      </w:r>
      <w:proofErr w:type="gramEnd"/>
      <w:r w:rsidRPr="000261B5">
        <w:rPr>
          <w:rFonts w:ascii="Times New Roman" w:eastAsia="Times New Roman" w:hAnsi="Times New Roman"/>
          <w:sz w:val="28"/>
          <w:szCs w:val="28"/>
          <w:lang w:val="uk-UA" w:eastAsia="ru-RU"/>
        </w:rPr>
        <w:t xml:space="preserve"> разі необхідності, проведення експертизи;</w:t>
      </w:r>
    </w:p>
    <w:p w:rsidR="000261B5" w:rsidRPr="000261B5" w:rsidRDefault="000261B5" w:rsidP="000261B5">
      <w:pPr>
        <w:spacing w:after="0" w:line="240" w:lineRule="auto"/>
        <w:ind w:firstLine="709"/>
        <w:jc w:val="both"/>
        <w:rPr>
          <w:rFonts w:ascii="Times New Roman" w:eastAsia="Times New Roman" w:hAnsi="Times New Roman"/>
          <w:sz w:val="28"/>
          <w:szCs w:val="28"/>
          <w:shd w:val="clear" w:color="auto" w:fill="FFFFFF"/>
          <w:lang w:val="uk-UA" w:eastAsia="ru-RU"/>
        </w:rPr>
      </w:pPr>
      <w:proofErr w:type="spellStart"/>
      <w:r w:rsidRPr="000261B5">
        <w:rPr>
          <w:rFonts w:ascii="Times New Roman" w:eastAsia="Times New Roman" w:hAnsi="Times New Roman"/>
          <w:sz w:val="28"/>
          <w:szCs w:val="28"/>
          <w:lang w:eastAsia="ru-RU"/>
        </w:rPr>
        <w:lastRenderedPageBreak/>
        <w:t>реконструкція</w:t>
      </w:r>
      <w:proofErr w:type="spellEnd"/>
      <w:r w:rsidRPr="000261B5">
        <w:rPr>
          <w:rFonts w:ascii="Times New Roman" w:eastAsia="Times New Roman" w:hAnsi="Times New Roman"/>
          <w:sz w:val="28"/>
          <w:szCs w:val="28"/>
          <w:lang w:eastAsia="ru-RU"/>
        </w:rPr>
        <w:t xml:space="preserve"> </w:t>
      </w:r>
      <w:proofErr w:type="gramStart"/>
      <w:r w:rsidRPr="000261B5">
        <w:rPr>
          <w:rFonts w:ascii="Times New Roman" w:eastAsia="Times New Roman" w:hAnsi="Times New Roman"/>
          <w:sz w:val="28"/>
          <w:szCs w:val="28"/>
          <w:lang w:eastAsia="ru-RU"/>
        </w:rPr>
        <w:t>центрального</w:t>
      </w:r>
      <w:proofErr w:type="gramEnd"/>
      <w:r w:rsidRPr="000261B5">
        <w:rPr>
          <w:rFonts w:ascii="Times New Roman" w:eastAsia="Times New Roman" w:hAnsi="Times New Roman"/>
          <w:sz w:val="28"/>
          <w:szCs w:val="28"/>
          <w:lang w:eastAsia="ru-RU"/>
        </w:rPr>
        <w:t xml:space="preserve"> </w:t>
      </w:r>
      <w:proofErr w:type="spellStart"/>
      <w:r w:rsidRPr="000261B5">
        <w:rPr>
          <w:rFonts w:ascii="Times New Roman" w:eastAsia="Times New Roman" w:hAnsi="Times New Roman"/>
          <w:sz w:val="28"/>
          <w:szCs w:val="28"/>
          <w:lang w:eastAsia="ru-RU"/>
        </w:rPr>
        <w:t>міського</w:t>
      </w:r>
      <w:proofErr w:type="spellEnd"/>
      <w:r w:rsidRPr="000261B5">
        <w:rPr>
          <w:rFonts w:ascii="Times New Roman" w:eastAsia="Times New Roman" w:hAnsi="Times New Roman"/>
          <w:sz w:val="28"/>
          <w:szCs w:val="28"/>
          <w:lang w:eastAsia="ru-RU"/>
        </w:rPr>
        <w:t xml:space="preserve"> </w:t>
      </w:r>
      <w:proofErr w:type="spellStart"/>
      <w:r w:rsidRPr="000261B5">
        <w:rPr>
          <w:rFonts w:ascii="Times New Roman" w:eastAsia="Times New Roman" w:hAnsi="Times New Roman"/>
          <w:sz w:val="28"/>
          <w:szCs w:val="28"/>
          <w:lang w:eastAsia="ru-RU"/>
        </w:rPr>
        <w:t>стадіону</w:t>
      </w:r>
      <w:proofErr w:type="spellEnd"/>
      <w:r w:rsidRPr="000261B5">
        <w:rPr>
          <w:rFonts w:ascii="Times New Roman" w:eastAsia="Times New Roman" w:hAnsi="Times New Roman"/>
          <w:sz w:val="28"/>
          <w:szCs w:val="28"/>
          <w:lang w:eastAsia="ru-RU"/>
        </w:rPr>
        <w:t xml:space="preserve"> за </w:t>
      </w:r>
      <w:proofErr w:type="spellStart"/>
      <w:r w:rsidRPr="000261B5">
        <w:rPr>
          <w:rFonts w:ascii="Times New Roman" w:eastAsia="Times New Roman" w:hAnsi="Times New Roman"/>
          <w:sz w:val="28"/>
          <w:szCs w:val="28"/>
          <w:lang w:eastAsia="ru-RU"/>
        </w:rPr>
        <w:t>рахунок</w:t>
      </w:r>
      <w:proofErr w:type="spellEnd"/>
      <w:r w:rsidRPr="000261B5">
        <w:rPr>
          <w:rFonts w:ascii="Times New Roman" w:eastAsia="Times New Roman" w:hAnsi="Times New Roman"/>
          <w:sz w:val="28"/>
          <w:szCs w:val="28"/>
          <w:lang w:eastAsia="ru-RU"/>
        </w:rPr>
        <w:t xml:space="preserve"> </w:t>
      </w:r>
      <w:proofErr w:type="spellStart"/>
      <w:r w:rsidRPr="000261B5">
        <w:rPr>
          <w:rFonts w:ascii="Times New Roman" w:eastAsia="Times New Roman" w:hAnsi="Times New Roman"/>
          <w:sz w:val="28"/>
          <w:szCs w:val="28"/>
          <w:lang w:eastAsia="ru-RU"/>
        </w:rPr>
        <w:t>державних</w:t>
      </w:r>
      <w:proofErr w:type="spellEnd"/>
      <w:r w:rsidRPr="000261B5">
        <w:rPr>
          <w:rFonts w:ascii="Times New Roman" w:eastAsia="Times New Roman" w:hAnsi="Times New Roman"/>
          <w:sz w:val="28"/>
          <w:szCs w:val="28"/>
          <w:lang w:eastAsia="ru-RU"/>
        </w:rPr>
        <w:t xml:space="preserve"> </w:t>
      </w:r>
      <w:proofErr w:type="spellStart"/>
      <w:r w:rsidRPr="000261B5">
        <w:rPr>
          <w:rFonts w:ascii="Times New Roman" w:eastAsia="Times New Roman" w:hAnsi="Times New Roman"/>
          <w:sz w:val="28"/>
          <w:szCs w:val="28"/>
          <w:lang w:eastAsia="ru-RU"/>
        </w:rPr>
        <w:t>коштів</w:t>
      </w:r>
      <w:proofErr w:type="spellEnd"/>
      <w:r w:rsidRPr="000261B5">
        <w:rPr>
          <w:rFonts w:ascii="Times New Roman" w:eastAsia="Times New Roman" w:hAnsi="Times New Roman"/>
          <w:sz w:val="28"/>
          <w:szCs w:val="28"/>
          <w:lang w:eastAsia="ru-RU"/>
        </w:rPr>
        <w:t xml:space="preserve"> та </w:t>
      </w:r>
      <w:proofErr w:type="spellStart"/>
      <w:r w:rsidRPr="000261B5">
        <w:rPr>
          <w:rFonts w:ascii="Times New Roman" w:eastAsia="Times New Roman" w:hAnsi="Times New Roman"/>
          <w:sz w:val="28"/>
          <w:szCs w:val="28"/>
          <w:lang w:eastAsia="ru-RU"/>
        </w:rPr>
        <w:t>співфінансування</w:t>
      </w:r>
      <w:proofErr w:type="spellEnd"/>
      <w:r w:rsidRPr="000261B5">
        <w:rPr>
          <w:rFonts w:ascii="Times New Roman" w:eastAsia="Times New Roman" w:hAnsi="Times New Roman"/>
          <w:sz w:val="28"/>
          <w:szCs w:val="28"/>
          <w:lang w:eastAsia="ru-RU"/>
        </w:rPr>
        <w:t xml:space="preserve"> з </w:t>
      </w:r>
      <w:proofErr w:type="spellStart"/>
      <w:r w:rsidRPr="000261B5">
        <w:rPr>
          <w:rFonts w:ascii="Times New Roman" w:eastAsia="Times New Roman" w:hAnsi="Times New Roman"/>
          <w:sz w:val="28"/>
          <w:szCs w:val="28"/>
          <w:lang w:eastAsia="ru-RU"/>
        </w:rPr>
        <w:t>міського</w:t>
      </w:r>
      <w:proofErr w:type="spellEnd"/>
      <w:r w:rsidRPr="000261B5">
        <w:rPr>
          <w:rFonts w:ascii="Times New Roman" w:eastAsia="Times New Roman" w:hAnsi="Times New Roman"/>
          <w:sz w:val="28"/>
          <w:szCs w:val="28"/>
          <w:lang w:eastAsia="ru-RU"/>
        </w:rPr>
        <w:t xml:space="preserve"> бюджету</w:t>
      </w:r>
      <w:r w:rsidRPr="000261B5">
        <w:rPr>
          <w:rFonts w:ascii="Times New Roman" w:eastAsia="Times New Roman" w:hAnsi="Times New Roman"/>
          <w:sz w:val="28"/>
          <w:szCs w:val="28"/>
          <w:shd w:val="clear" w:color="auto" w:fill="FFFFFF"/>
          <w:lang w:eastAsia="ru-RU"/>
        </w:rPr>
        <w:t>.</w:t>
      </w:r>
    </w:p>
    <w:p w:rsidR="000261B5" w:rsidRPr="000261B5" w:rsidRDefault="000261B5" w:rsidP="000261B5">
      <w:pPr>
        <w:spacing w:after="0" w:line="240" w:lineRule="auto"/>
        <w:ind w:firstLine="709"/>
        <w:jc w:val="both"/>
        <w:rPr>
          <w:rFonts w:ascii="Times New Roman" w:eastAsia="Times New Roman" w:hAnsi="Times New Roman"/>
          <w:sz w:val="28"/>
          <w:szCs w:val="28"/>
          <w:shd w:val="clear" w:color="auto" w:fill="FFFFFF"/>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r w:rsidRPr="000261B5">
        <w:rPr>
          <w:rFonts w:ascii="Times New Roman" w:hAnsi="Times New Roman"/>
          <w:b/>
          <w:sz w:val="28"/>
          <w:szCs w:val="28"/>
          <w:lang w:val="uk-UA" w:eastAsia="ru-RU"/>
        </w:rPr>
        <w:t>Культура і туризм</w:t>
      </w: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Цілями державної політики у сфері культури і туризму, втіленням яких відділ культури і туризму міської ради (додаток 6), є відродження та духовний розвиток традицій, професійного музичного, хореографічного, образотворчого, декоративного мистецтва та народної художньої творчості, нематеріальної культурної спадщини.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Прогнозні граничні показники бюджету територіальної громади головним </w:t>
      </w:r>
    </w:p>
    <w:p w:rsidR="000261B5" w:rsidRPr="000261B5" w:rsidRDefault="000261B5" w:rsidP="000261B5">
      <w:pPr>
        <w:tabs>
          <w:tab w:val="left" w:pos="1860"/>
        </w:tabs>
        <w:spacing w:after="0" w:line="240" w:lineRule="auto"/>
        <w:jc w:val="both"/>
        <w:rPr>
          <w:rFonts w:ascii="Times New Roman" w:hAnsi="Times New Roman"/>
          <w:sz w:val="28"/>
          <w:szCs w:val="28"/>
          <w:lang w:val="uk-UA" w:eastAsia="ru-RU"/>
        </w:rPr>
      </w:pPr>
      <w:r w:rsidRPr="000261B5">
        <w:rPr>
          <w:rFonts w:ascii="Times New Roman" w:hAnsi="Times New Roman"/>
          <w:sz w:val="28"/>
          <w:szCs w:val="28"/>
          <w:lang w:val="uk-UA" w:eastAsia="ru-RU"/>
        </w:rPr>
        <w:t>розпорядником бюджетних коштів розподілені на реалізацію наступних бюджетних програм, а саме:</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КПКВ 4030 "Забезпечення діяльності бібліотек" на утримання Новоукраїнської центральної бібліотеки та дев'ять філій (дитяча філія, філії № 1, № 2, </w:t>
      </w:r>
      <w:proofErr w:type="spellStart"/>
      <w:r w:rsidRPr="000261B5">
        <w:rPr>
          <w:rFonts w:ascii="Times New Roman" w:hAnsi="Times New Roman"/>
          <w:sz w:val="28"/>
          <w:szCs w:val="28"/>
          <w:lang w:val="uk-UA" w:eastAsia="ru-RU"/>
        </w:rPr>
        <w:t>Звірівська</w:t>
      </w:r>
      <w:proofErr w:type="spellEnd"/>
      <w:r w:rsidRPr="000261B5">
        <w:rPr>
          <w:rFonts w:ascii="Times New Roman" w:hAnsi="Times New Roman"/>
          <w:sz w:val="28"/>
          <w:szCs w:val="28"/>
          <w:lang w:val="uk-UA" w:eastAsia="ru-RU"/>
        </w:rPr>
        <w:t xml:space="preserve">,  </w:t>
      </w:r>
      <w:proofErr w:type="spellStart"/>
      <w:r w:rsidRPr="000261B5">
        <w:rPr>
          <w:rFonts w:ascii="Times New Roman" w:hAnsi="Times New Roman"/>
          <w:sz w:val="28"/>
          <w:szCs w:val="28"/>
          <w:lang w:val="uk-UA" w:eastAsia="ru-RU"/>
        </w:rPr>
        <w:t>Мар’янопільська</w:t>
      </w:r>
      <w:proofErr w:type="spellEnd"/>
      <w:r w:rsidRPr="000261B5">
        <w:rPr>
          <w:rFonts w:ascii="Times New Roman" w:hAnsi="Times New Roman"/>
          <w:sz w:val="28"/>
          <w:szCs w:val="28"/>
          <w:lang w:val="uk-UA" w:eastAsia="ru-RU"/>
        </w:rPr>
        <w:t xml:space="preserve">, </w:t>
      </w:r>
      <w:proofErr w:type="spellStart"/>
      <w:r w:rsidRPr="000261B5">
        <w:rPr>
          <w:rFonts w:ascii="Times New Roman" w:hAnsi="Times New Roman"/>
          <w:sz w:val="28"/>
          <w:szCs w:val="28"/>
          <w:lang w:val="uk-UA" w:eastAsia="ru-RU"/>
        </w:rPr>
        <w:t>Кам’яномостівська</w:t>
      </w:r>
      <w:proofErr w:type="spellEnd"/>
      <w:r w:rsidRPr="000261B5">
        <w:rPr>
          <w:rFonts w:ascii="Times New Roman" w:hAnsi="Times New Roman"/>
          <w:sz w:val="28"/>
          <w:szCs w:val="28"/>
          <w:lang w:val="uk-UA" w:eastAsia="ru-RU"/>
        </w:rPr>
        <w:t xml:space="preserve">, </w:t>
      </w:r>
      <w:proofErr w:type="spellStart"/>
      <w:r w:rsidRPr="000261B5">
        <w:rPr>
          <w:rFonts w:ascii="Times New Roman" w:hAnsi="Times New Roman"/>
          <w:sz w:val="28"/>
          <w:szCs w:val="28"/>
          <w:lang w:val="uk-UA" w:eastAsia="ru-RU"/>
        </w:rPr>
        <w:t>Воронівська</w:t>
      </w:r>
      <w:proofErr w:type="spellEnd"/>
      <w:r w:rsidRPr="000261B5">
        <w:rPr>
          <w:rFonts w:ascii="Times New Roman" w:hAnsi="Times New Roman"/>
          <w:sz w:val="28"/>
          <w:szCs w:val="28"/>
          <w:lang w:val="uk-UA" w:eastAsia="ru-RU"/>
        </w:rPr>
        <w:t xml:space="preserve">, </w:t>
      </w:r>
      <w:proofErr w:type="spellStart"/>
      <w:r w:rsidRPr="000261B5">
        <w:rPr>
          <w:rFonts w:ascii="Times New Roman" w:hAnsi="Times New Roman"/>
          <w:sz w:val="28"/>
          <w:szCs w:val="28"/>
          <w:lang w:val="uk-UA" w:eastAsia="ru-RU"/>
        </w:rPr>
        <w:t>Фурманівська</w:t>
      </w:r>
      <w:proofErr w:type="spellEnd"/>
      <w:r w:rsidRPr="000261B5">
        <w:rPr>
          <w:rFonts w:ascii="Times New Roman" w:hAnsi="Times New Roman"/>
          <w:sz w:val="28"/>
          <w:szCs w:val="28"/>
          <w:lang w:val="uk-UA" w:eastAsia="ru-RU"/>
        </w:rPr>
        <w:t xml:space="preserve"> та </w:t>
      </w:r>
      <w:proofErr w:type="spellStart"/>
      <w:r w:rsidRPr="000261B5">
        <w:rPr>
          <w:rFonts w:ascii="Times New Roman" w:hAnsi="Times New Roman"/>
          <w:sz w:val="28"/>
          <w:szCs w:val="28"/>
          <w:lang w:val="uk-UA" w:eastAsia="ru-RU"/>
        </w:rPr>
        <w:t>Захарівська</w:t>
      </w:r>
      <w:proofErr w:type="spellEnd"/>
      <w:r w:rsidRPr="000261B5">
        <w:rPr>
          <w:rFonts w:ascii="Times New Roman" w:hAnsi="Times New Roman"/>
          <w:sz w:val="28"/>
          <w:szCs w:val="28"/>
          <w:lang w:val="uk-UA" w:eastAsia="ru-RU"/>
        </w:rPr>
        <w:t xml:space="preserve"> філії);</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КПКВ 4040 "Забезпечення діяльності музеїв і виставок" на утримання міського краєзнавчого музею;</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КПКВ 4060 "Забезпечення діяльності палаців і будинків культури, клубів, </w:t>
      </w:r>
    </w:p>
    <w:p w:rsidR="000261B5" w:rsidRPr="000261B5" w:rsidRDefault="000261B5" w:rsidP="000261B5">
      <w:pPr>
        <w:tabs>
          <w:tab w:val="left" w:pos="1860"/>
        </w:tabs>
        <w:spacing w:after="0" w:line="240" w:lineRule="auto"/>
        <w:jc w:val="both"/>
        <w:rPr>
          <w:rFonts w:ascii="Times New Roman" w:hAnsi="Times New Roman"/>
          <w:sz w:val="28"/>
          <w:szCs w:val="28"/>
          <w:lang w:val="uk-UA" w:eastAsia="ru-RU"/>
        </w:rPr>
      </w:pPr>
      <w:r w:rsidRPr="000261B5">
        <w:rPr>
          <w:rFonts w:ascii="Times New Roman" w:hAnsi="Times New Roman"/>
          <w:sz w:val="28"/>
          <w:szCs w:val="28"/>
          <w:lang w:val="uk-UA" w:eastAsia="ru-RU"/>
        </w:rPr>
        <w:t>центрів дозвілля та інших клубних закладів" на утримання</w:t>
      </w:r>
      <w:r w:rsidRPr="000261B5">
        <w:rPr>
          <w:sz w:val="28"/>
          <w:lang w:val="uk-UA"/>
        </w:rPr>
        <w:t xml:space="preserve"> </w:t>
      </w:r>
      <w:r w:rsidRPr="000261B5">
        <w:rPr>
          <w:rFonts w:ascii="Times New Roman" w:hAnsi="Times New Roman"/>
          <w:sz w:val="28"/>
          <w:szCs w:val="28"/>
          <w:lang w:val="uk-UA" w:eastAsia="ru-RU"/>
        </w:rPr>
        <w:t xml:space="preserve">міського палацу культури "Ювілейний" з шістьма філіями (філія №1, №2, </w:t>
      </w:r>
      <w:proofErr w:type="spellStart"/>
      <w:r w:rsidRPr="000261B5">
        <w:rPr>
          <w:rFonts w:ascii="Times New Roman" w:hAnsi="Times New Roman"/>
          <w:sz w:val="28"/>
          <w:szCs w:val="28"/>
          <w:lang w:val="uk-UA" w:eastAsia="ru-RU"/>
        </w:rPr>
        <w:t>Мар’янопільська</w:t>
      </w:r>
      <w:proofErr w:type="spellEnd"/>
      <w:r w:rsidRPr="000261B5">
        <w:rPr>
          <w:rFonts w:ascii="Times New Roman" w:hAnsi="Times New Roman"/>
          <w:sz w:val="28"/>
          <w:szCs w:val="28"/>
          <w:lang w:val="uk-UA" w:eastAsia="ru-RU"/>
        </w:rPr>
        <w:t xml:space="preserve">, </w:t>
      </w:r>
      <w:proofErr w:type="spellStart"/>
      <w:r w:rsidRPr="000261B5">
        <w:rPr>
          <w:rFonts w:ascii="Times New Roman" w:hAnsi="Times New Roman"/>
          <w:sz w:val="28"/>
          <w:szCs w:val="28"/>
          <w:lang w:val="uk-UA" w:eastAsia="ru-RU"/>
        </w:rPr>
        <w:t>Улянівська</w:t>
      </w:r>
      <w:proofErr w:type="spellEnd"/>
      <w:r w:rsidRPr="000261B5">
        <w:rPr>
          <w:rFonts w:ascii="Times New Roman" w:hAnsi="Times New Roman"/>
          <w:sz w:val="28"/>
          <w:szCs w:val="28"/>
          <w:lang w:val="uk-UA" w:eastAsia="ru-RU"/>
        </w:rPr>
        <w:t>,</w:t>
      </w:r>
      <w:r w:rsidRPr="000261B5">
        <w:rPr>
          <w:rFonts w:ascii="Times New Roman" w:eastAsia="Times New Roman" w:hAnsi="Times New Roman"/>
          <w:sz w:val="28"/>
          <w:szCs w:val="24"/>
          <w:lang w:val="uk-UA" w:eastAsia="ru-RU"/>
        </w:rPr>
        <w:t xml:space="preserve"> </w:t>
      </w:r>
      <w:proofErr w:type="spellStart"/>
      <w:r w:rsidRPr="000261B5">
        <w:rPr>
          <w:rFonts w:ascii="Times New Roman" w:hAnsi="Times New Roman"/>
          <w:sz w:val="28"/>
          <w:szCs w:val="28"/>
          <w:lang w:val="uk-UA" w:eastAsia="ru-RU"/>
        </w:rPr>
        <w:t>Фурманівська</w:t>
      </w:r>
      <w:proofErr w:type="spellEnd"/>
      <w:r w:rsidRPr="000261B5">
        <w:rPr>
          <w:rFonts w:ascii="Times New Roman" w:hAnsi="Times New Roman"/>
          <w:sz w:val="28"/>
          <w:szCs w:val="28"/>
          <w:lang w:val="uk-UA" w:eastAsia="ru-RU"/>
        </w:rPr>
        <w:t xml:space="preserve"> та </w:t>
      </w:r>
      <w:proofErr w:type="spellStart"/>
      <w:r w:rsidRPr="000261B5">
        <w:rPr>
          <w:rFonts w:ascii="Times New Roman" w:hAnsi="Times New Roman"/>
          <w:sz w:val="28"/>
          <w:szCs w:val="28"/>
          <w:lang w:val="uk-UA" w:eastAsia="ru-RU"/>
        </w:rPr>
        <w:t>Захарівська</w:t>
      </w:r>
      <w:proofErr w:type="spellEnd"/>
      <w:r w:rsidRPr="000261B5">
        <w:rPr>
          <w:rFonts w:ascii="Times New Roman" w:hAnsi="Times New Roman"/>
          <w:sz w:val="28"/>
          <w:szCs w:val="28"/>
          <w:lang w:val="uk-UA" w:eastAsia="ru-RU"/>
        </w:rPr>
        <w:t xml:space="preserve"> філії);</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КПКВ 4081 "Забезпечення діяльності інших закладів в галузі культури і мистецтва" на утримання централізованої бухгалтерії відділу культури і туризму виконавчого комітету міської ради;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КПКВ 4082 "Інші заходи в галузі культури і мистецтва" на проведення культурно-мистецьких заходів державного та місцевого значення;</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КПКВ 7340 "Проектування, реставрація та охорона пам`яток архітектури" на проведення ;інвентаризації та паспортизації об’єктів культурної спадщини (архітектури, </w:t>
      </w:r>
      <w:proofErr w:type="spellStart"/>
      <w:r w:rsidRPr="000261B5">
        <w:rPr>
          <w:rFonts w:ascii="Times New Roman" w:hAnsi="Times New Roman"/>
          <w:sz w:val="28"/>
          <w:szCs w:val="28"/>
          <w:lang w:val="uk-UA" w:eastAsia="ru-RU"/>
        </w:rPr>
        <w:t>археологіі</w:t>
      </w:r>
      <w:proofErr w:type="spellEnd"/>
      <w:r w:rsidRPr="000261B5">
        <w:rPr>
          <w:rFonts w:ascii="Times New Roman" w:hAnsi="Times New Roman"/>
          <w:sz w:val="28"/>
          <w:szCs w:val="28"/>
          <w:lang w:val="uk-UA" w:eastAsia="ru-RU"/>
        </w:rPr>
        <w:t xml:space="preserve"> та історії);</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КПКВ 7622 "Реалізація програм і заходів в галузі туризму та курортів" на заходи спрямовані на розвиток туризму т а популяризацію туризму на території громади;</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Протягом 2022-2024 років планується досягти наступних результатів:</w:t>
      </w:r>
    </w:p>
    <w:p w:rsidR="000261B5" w:rsidRPr="000261B5" w:rsidRDefault="000261B5" w:rsidP="000261B5">
      <w:pPr>
        <w:tabs>
          <w:tab w:val="left" w:pos="1860"/>
        </w:tabs>
        <w:spacing w:after="0" w:line="240" w:lineRule="auto"/>
        <w:ind w:firstLine="426"/>
        <w:jc w:val="both"/>
        <w:rPr>
          <w:rFonts w:ascii="Times New Roman" w:eastAsia="Times New Roman" w:hAnsi="Times New Roman"/>
          <w:sz w:val="28"/>
          <w:szCs w:val="24"/>
          <w:lang w:val="uk-UA" w:eastAsia="ru-RU"/>
        </w:rPr>
      </w:pPr>
      <w:r w:rsidRPr="000261B5">
        <w:rPr>
          <w:rFonts w:ascii="Times New Roman" w:hAnsi="Times New Roman"/>
          <w:sz w:val="28"/>
          <w:szCs w:val="28"/>
          <w:lang w:val="uk-UA" w:eastAsia="ru-RU"/>
        </w:rPr>
        <w:t>запровадження системи державних стандартів щодо надання культурних послуг населенню;</w:t>
      </w:r>
      <w:r w:rsidRPr="000261B5">
        <w:rPr>
          <w:rFonts w:ascii="Times New Roman" w:eastAsia="Times New Roman" w:hAnsi="Times New Roman"/>
          <w:sz w:val="28"/>
          <w:szCs w:val="24"/>
          <w:lang w:val="uk-UA" w:eastAsia="ru-RU"/>
        </w:rPr>
        <w:t xml:space="preserve"> </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оновлення матеріально-технічної бази мережі закладів культури, у тому числі впровадження </w:t>
      </w:r>
      <w:proofErr w:type="spellStart"/>
      <w:r w:rsidRPr="000261B5">
        <w:rPr>
          <w:rFonts w:ascii="Times New Roman" w:hAnsi="Times New Roman"/>
          <w:sz w:val="28"/>
          <w:szCs w:val="28"/>
          <w:lang w:val="uk-UA" w:eastAsia="ru-RU"/>
        </w:rPr>
        <w:t>ресурсо</w:t>
      </w:r>
      <w:proofErr w:type="spellEnd"/>
      <w:r w:rsidRPr="000261B5">
        <w:rPr>
          <w:rFonts w:ascii="Times New Roman" w:hAnsi="Times New Roman"/>
          <w:sz w:val="28"/>
          <w:szCs w:val="28"/>
          <w:lang w:val="uk-UA" w:eastAsia="ru-RU"/>
        </w:rPr>
        <w:t xml:space="preserve"> - та енергозберігаючих технологій;</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оптимізація мережі закладів культури;</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реалізація Програми інвентаризації та паспортизації об’єктів культурної спадщини Новоукраїнської громади;              </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реалізація Програми розвитку культури на території Новоукраїнської міської об’єднаної територіальної громади на 2020-2024 роки;          </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активізація роботи щодо виявлення, розвитку і популяризації досягнень народної творчості, усіх видів аматорської художньої творчості, підвищення їх </w:t>
      </w:r>
      <w:r w:rsidRPr="000261B5">
        <w:rPr>
          <w:rFonts w:ascii="Times New Roman" w:hAnsi="Times New Roman"/>
          <w:sz w:val="28"/>
          <w:szCs w:val="28"/>
          <w:lang w:val="uk-UA" w:eastAsia="ru-RU"/>
        </w:rPr>
        <w:lastRenderedPageBreak/>
        <w:t xml:space="preserve">майстерності та залучення чоловіків до участі в аматорсько-художніх колективах;                                                                 </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придбання комп’ютерної та оргтехніки, музичної </w:t>
      </w:r>
      <w:proofErr w:type="spellStart"/>
      <w:r w:rsidRPr="000261B5">
        <w:rPr>
          <w:rFonts w:ascii="Times New Roman" w:hAnsi="Times New Roman"/>
          <w:sz w:val="28"/>
          <w:szCs w:val="28"/>
          <w:lang w:val="uk-UA" w:eastAsia="ru-RU"/>
        </w:rPr>
        <w:t>звукопідсилюючої</w:t>
      </w:r>
      <w:proofErr w:type="spellEnd"/>
      <w:r w:rsidRPr="000261B5">
        <w:rPr>
          <w:rFonts w:ascii="Times New Roman" w:hAnsi="Times New Roman"/>
          <w:sz w:val="28"/>
          <w:szCs w:val="28"/>
          <w:lang w:val="uk-UA" w:eastAsia="ru-RU"/>
        </w:rPr>
        <w:t xml:space="preserve"> апаратури та іншого обладнання в заклади культури для надання якісних культурних послуг населенню;</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забезпечення сталого </w:t>
      </w:r>
      <w:proofErr w:type="spellStart"/>
      <w:r w:rsidRPr="000261B5">
        <w:rPr>
          <w:rFonts w:ascii="Times New Roman" w:hAnsi="Times New Roman"/>
          <w:sz w:val="28"/>
          <w:szCs w:val="28"/>
          <w:lang w:val="uk-UA" w:eastAsia="ru-RU"/>
        </w:rPr>
        <w:t>інтернет-зв’язку</w:t>
      </w:r>
      <w:proofErr w:type="spellEnd"/>
      <w:r w:rsidRPr="000261B5">
        <w:rPr>
          <w:rFonts w:ascii="Times New Roman" w:hAnsi="Times New Roman"/>
          <w:sz w:val="28"/>
          <w:szCs w:val="28"/>
          <w:lang w:val="uk-UA" w:eastAsia="ru-RU"/>
        </w:rPr>
        <w:t xml:space="preserve"> в закладах культури; </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поповнення фондів бібліотек новими виданнями, передплата періодичних видань з врахуванням потреб читачів;</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поновлення меблів в закладах культури;                                                      </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придбання костюмів для учасників художньої самодіяльності та музичних інструментів для проведення заходів, концертів, фестивалів;</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участь у фестивалях, конкурсах, міських, районних, обласних  та інших заходах;                         </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проведення заходів в закладах культури Новоукраїнської міської ради та придбання для цього необхідних засобів;                                        </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створення природничого відділу у міському краєзнавчому музею;</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придбання виставкових музейних вітрин;                 </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поточний ремонт пам’ятників та прилеглої території на території громади (у разі потреби);</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реалізація Програми розвитку туризму в </w:t>
      </w:r>
      <w:proofErr w:type="spellStart"/>
      <w:r w:rsidRPr="000261B5">
        <w:rPr>
          <w:rFonts w:ascii="Times New Roman" w:hAnsi="Times New Roman"/>
          <w:sz w:val="28"/>
          <w:szCs w:val="28"/>
          <w:lang w:val="uk-UA" w:eastAsia="ru-RU"/>
        </w:rPr>
        <w:t>Новоукраїнській</w:t>
      </w:r>
      <w:proofErr w:type="spellEnd"/>
      <w:r w:rsidRPr="000261B5">
        <w:rPr>
          <w:rFonts w:ascii="Times New Roman" w:hAnsi="Times New Roman"/>
          <w:sz w:val="28"/>
          <w:szCs w:val="28"/>
          <w:lang w:val="uk-UA" w:eastAsia="ru-RU"/>
        </w:rPr>
        <w:t xml:space="preserve"> міській територіальній громаді;</w:t>
      </w:r>
    </w:p>
    <w:p w:rsidR="000261B5" w:rsidRPr="000261B5" w:rsidRDefault="000261B5" w:rsidP="000261B5">
      <w:pPr>
        <w:tabs>
          <w:tab w:val="left" w:pos="1860"/>
        </w:tabs>
        <w:spacing w:after="0" w:line="240" w:lineRule="auto"/>
        <w:ind w:firstLine="426"/>
        <w:jc w:val="both"/>
        <w:rPr>
          <w:rFonts w:ascii="Times New Roman" w:hAnsi="Times New Roman"/>
          <w:sz w:val="28"/>
          <w:szCs w:val="28"/>
          <w:lang w:val="uk-UA" w:eastAsia="ru-RU"/>
        </w:rPr>
      </w:pPr>
      <w:r w:rsidRPr="000261B5">
        <w:rPr>
          <w:rFonts w:ascii="Times New Roman" w:hAnsi="Times New Roman"/>
          <w:sz w:val="28"/>
          <w:szCs w:val="28"/>
          <w:lang w:val="uk-UA" w:eastAsia="ru-RU"/>
        </w:rPr>
        <w:t>збільшення туристичного потоку та перетворення туризму на одну з прибуткових галузей економіки громади.</w:t>
      </w:r>
    </w:p>
    <w:p w:rsidR="000261B5" w:rsidRPr="000261B5" w:rsidRDefault="000261B5" w:rsidP="000261B5">
      <w:pPr>
        <w:tabs>
          <w:tab w:val="left" w:pos="1860"/>
        </w:tabs>
        <w:spacing w:after="0" w:line="240" w:lineRule="auto"/>
        <w:rPr>
          <w:rFonts w:ascii="Times New Roman" w:hAnsi="Times New Roman"/>
          <w:b/>
          <w:sz w:val="28"/>
          <w:szCs w:val="28"/>
          <w:highlight w:val="yellow"/>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r w:rsidRPr="000261B5">
        <w:rPr>
          <w:rFonts w:ascii="Times New Roman" w:hAnsi="Times New Roman"/>
          <w:b/>
          <w:sz w:val="28"/>
          <w:szCs w:val="28"/>
          <w:lang w:val="uk-UA" w:eastAsia="ru-RU"/>
        </w:rPr>
        <w:t>Житлово-комунальне господарство</w:t>
      </w: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Реалізація цілей державної політики, власних повноважень органів місцевого самоврядування в сфері утримання, благоустрою та розвитку житлово-комунального господарства міста, а також у сфері забезпечення ефективного функціонування та розвитку вулично-дорожньої мережі визначена заходами Програми  реформування  і  розвитку житлово-комунального господарства  Новоукраїнської міської об’єднаної територіальної громади на 2020-2025 роки, затвердженої рішенням Новоукраїнської міської ради від 13.10.2020 року № 1843. Головний розпорядник бюджетних коштів – виконавчий комітет  Новоукраїнської міської ради.</w:t>
      </w:r>
    </w:p>
    <w:p w:rsidR="000261B5" w:rsidRPr="000261B5" w:rsidRDefault="000261B5" w:rsidP="000261B5">
      <w:pPr>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Пріоритетними напрямками розвитку житлово-комунального господарства є задоволення потреб мешканців в усіх видах житлово-комунальних послуг, створення комфортних умов для проживання та надання їм якісних житлово-комунальних послуг, належне утримання об’єктів комунальної власності, реконструкція системи водопостачання міста, надання якісних житлово-комунальних послуг, здійснення технічного переоснащення галузі на основі впровадження </w:t>
      </w:r>
      <w:proofErr w:type="spellStart"/>
      <w:r w:rsidRPr="000261B5">
        <w:rPr>
          <w:rFonts w:ascii="Times New Roman" w:hAnsi="Times New Roman"/>
          <w:sz w:val="28"/>
          <w:szCs w:val="28"/>
          <w:lang w:val="uk-UA" w:eastAsia="ru-RU"/>
        </w:rPr>
        <w:t>енергоефективних</w:t>
      </w:r>
      <w:proofErr w:type="spellEnd"/>
      <w:r w:rsidRPr="000261B5">
        <w:rPr>
          <w:rFonts w:ascii="Times New Roman" w:hAnsi="Times New Roman"/>
          <w:sz w:val="28"/>
          <w:szCs w:val="28"/>
          <w:lang w:val="uk-UA" w:eastAsia="ru-RU"/>
        </w:rPr>
        <w:t xml:space="preserve"> технологій та обладнання, підвищення рівня благоустрою населених пунктів громади, оновлення матеріально-технічної бази комунальних підприємств з метою покращення якості послуг, які надаються населенню, впровадження роздільного збирання побутових відходів та інше.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У сфері дорожнього господарства у прогнозному періоді передбачається </w:t>
      </w:r>
    </w:p>
    <w:p w:rsidR="000261B5" w:rsidRPr="000261B5" w:rsidRDefault="000261B5" w:rsidP="000261B5">
      <w:pPr>
        <w:tabs>
          <w:tab w:val="left" w:pos="1860"/>
        </w:tabs>
        <w:spacing w:after="0" w:line="240" w:lineRule="auto"/>
        <w:jc w:val="both"/>
        <w:rPr>
          <w:rFonts w:ascii="Times New Roman" w:hAnsi="Times New Roman"/>
          <w:sz w:val="28"/>
          <w:szCs w:val="28"/>
          <w:lang w:val="uk-UA" w:eastAsia="ru-RU"/>
        </w:rPr>
      </w:pPr>
      <w:r w:rsidRPr="000261B5">
        <w:rPr>
          <w:rFonts w:ascii="Times New Roman" w:hAnsi="Times New Roman"/>
          <w:sz w:val="28"/>
          <w:szCs w:val="28"/>
          <w:lang w:val="uk-UA" w:eastAsia="ru-RU"/>
        </w:rPr>
        <w:lastRenderedPageBreak/>
        <w:t xml:space="preserve">здійснити заходи із поліпшення транспортно-експлуатаційного стану існуючих </w:t>
      </w:r>
    </w:p>
    <w:p w:rsidR="000261B5" w:rsidRPr="000261B5" w:rsidRDefault="000261B5" w:rsidP="000261B5">
      <w:pPr>
        <w:tabs>
          <w:tab w:val="left" w:pos="1860"/>
        </w:tabs>
        <w:spacing w:after="0" w:line="240" w:lineRule="auto"/>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автомобільних доріг, проведення робіт з реконструкції і ремонту доріг громади, капітального ремонту тротуарів; підвищення безпеки дорожнього руху.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Основними завданнями та напрямами, за якими буде продовжено роботу в галузі житлово-комунального та дорожнього господарства, є: покращення освітлення території міста із застосуванням енергоощадних світильників; покращення стану вулиць, автомобільних доріг комунальної власності, забезпечення безпеки дорожнього руху, якісні транспортні послуги та безпеку перевезення пасажирів.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center"/>
        <w:rPr>
          <w:rFonts w:ascii="Times New Roman" w:hAnsi="Times New Roman"/>
          <w:b/>
          <w:bCs/>
          <w:sz w:val="28"/>
          <w:szCs w:val="28"/>
          <w:lang w:val="uk-UA" w:eastAsia="ru-RU"/>
        </w:rPr>
      </w:pPr>
      <w:r w:rsidRPr="000261B5">
        <w:rPr>
          <w:rFonts w:ascii="Times New Roman" w:hAnsi="Times New Roman"/>
          <w:b/>
          <w:bCs/>
          <w:sz w:val="28"/>
          <w:szCs w:val="28"/>
          <w:lang w:val="uk-UA" w:eastAsia="ru-RU"/>
        </w:rPr>
        <w:t>Землекористування, архітектура і будівництво</w:t>
      </w:r>
    </w:p>
    <w:p w:rsidR="000261B5" w:rsidRPr="000261B5" w:rsidRDefault="000261B5" w:rsidP="000261B5">
      <w:pPr>
        <w:tabs>
          <w:tab w:val="left" w:pos="1860"/>
        </w:tabs>
        <w:spacing w:after="0" w:line="240" w:lineRule="auto"/>
        <w:ind w:firstLine="709"/>
        <w:jc w:val="center"/>
        <w:rPr>
          <w:rFonts w:ascii="Times New Roman" w:hAnsi="Times New Roman"/>
          <w:b/>
          <w:bCs/>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Питання містобудування та архітектури мають вирішальне значення при визначенні цільового використання земельних ділянок, визначення території для містобудівних потреб та покращення інвестиційного клімату в громаді. Розроблення містобудівної документації, а саме – генерального плану міста та генеральних планів населених пунктів, які входять до громади, сприяють впорядкуванню господарської та містобудівної діяльності, відповідним чином впливають на розв’язання проблемних питань у сфері земельних відносин, інвентаризацію земельних ділянок.</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rPr>
          <w:rFonts w:ascii="Times New Roman" w:hAnsi="Times New Roman"/>
          <w:sz w:val="28"/>
          <w:szCs w:val="28"/>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r w:rsidRPr="000261B5">
        <w:rPr>
          <w:rFonts w:ascii="Times New Roman" w:hAnsi="Times New Roman"/>
          <w:b/>
          <w:sz w:val="28"/>
          <w:szCs w:val="28"/>
          <w:lang w:val="uk-UA" w:eastAsia="ru-RU"/>
        </w:rPr>
        <w:t>Соціальний захист та соціальне забезпечення</w:t>
      </w: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Основними цілями реалізації державної політики у сфері соціального захисту та соціального забезпечення на 2022-2024 роки є посилення адресної соціальної підтримки для підвищення ефективності використання бюджетних коштів та їх спрямування соціально вразливим верствам населення.</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Прогнозні граничні показники бюджету Новоукраїнської міської територіальної громади по видатках на фінансування галузі "Соціальний захист та соціальне забезпечення" на 2022-2024 роки передбачаються наступними головними розпорядниками коштів: управлінням соціального захисту та охорони здоров'я Новоукраїнської міської ради  та виконавчим комітетом  Новоукраїнської міської ради (додаток 6). За рахунок коштів бюджету міської територіальної громади у середньостроковому періоді планується утримувати центр  соціальних послуг Новоукраїнської міської ради.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Крім того, на 2022 – 2024 роки плануються видатки на реалізацію міських </w:t>
      </w:r>
    </w:p>
    <w:p w:rsidR="000261B5" w:rsidRPr="000261B5" w:rsidRDefault="000261B5" w:rsidP="000261B5">
      <w:pPr>
        <w:tabs>
          <w:tab w:val="left" w:pos="1860"/>
        </w:tabs>
        <w:spacing w:after="0" w:line="240" w:lineRule="auto"/>
        <w:jc w:val="both"/>
        <w:rPr>
          <w:rFonts w:ascii="Times New Roman" w:hAnsi="Times New Roman"/>
          <w:sz w:val="28"/>
          <w:szCs w:val="28"/>
          <w:lang w:val="uk-UA" w:eastAsia="ru-RU"/>
        </w:rPr>
      </w:pPr>
      <w:r w:rsidRPr="000261B5">
        <w:rPr>
          <w:rFonts w:ascii="Times New Roman" w:hAnsi="Times New Roman"/>
          <w:sz w:val="28"/>
          <w:szCs w:val="28"/>
          <w:lang w:val="uk-UA" w:eastAsia="ru-RU"/>
        </w:rPr>
        <w:t>програм соціального захисту та соціальної підтримки окремих категорій населення громади.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Завданнями на 2022-2024 роки є:</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забезпечення максимальної адресності та наближеності надання відповідної соціальної підтримки тим, хто її потребує;</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прозорість та доступність в отриманні соціальної підтримки;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забезпечення захисту прав дитини, у тому числі шляхом розвитку сімейних та інших форм виховання дітей, наближених до сімейних, </w:t>
      </w:r>
      <w:r w:rsidRPr="000261B5">
        <w:rPr>
          <w:rFonts w:ascii="Times New Roman" w:hAnsi="Times New Roman"/>
          <w:sz w:val="28"/>
          <w:szCs w:val="28"/>
          <w:lang w:val="uk-UA" w:eastAsia="ru-RU"/>
        </w:rPr>
        <w:lastRenderedPageBreak/>
        <w:t>забезпечення житлом дітей-сиріт, дітей, позбавлених батьківського піклування, осіб з їх числа;</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удосконалення механізму запобігання та протидії домашньому насильству та насильству за ознакою статі в умовах децентралізації з урахуванням міжнародних стандартів.</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Основні результати, яких планується досягти: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адаптація системи надання соціальних послуг до нових вимог законодавства, спрощення порядку надання соціальних послуг, впровадження нових, сучасних комп’ютерних та Інтернет технологій;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охоплення соціальним захистом максимальної кількості сімей та малозабезпечених громадян, які потребують підтримки місцевої влади;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покращення соціального діалогу між громадськими організаціями та владою.</w:t>
      </w: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r w:rsidRPr="000261B5">
        <w:rPr>
          <w:rFonts w:ascii="Times New Roman" w:hAnsi="Times New Roman"/>
          <w:b/>
          <w:sz w:val="28"/>
          <w:szCs w:val="28"/>
          <w:lang w:val="uk-UA" w:eastAsia="ru-RU"/>
        </w:rPr>
        <w:t>Охорона здоров’я</w:t>
      </w:r>
    </w:p>
    <w:p w:rsidR="000261B5" w:rsidRPr="000261B5" w:rsidRDefault="000261B5" w:rsidP="000261B5">
      <w:pPr>
        <w:tabs>
          <w:tab w:val="left" w:pos="1860"/>
        </w:tabs>
        <w:spacing w:after="0" w:line="240" w:lineRule="auto"/>
        <w:jc w:val="center"/>
        <w:rPr>
          <w:rFonts w:ascii="Times New Roman" w:hAnsi="Times New Roman"/>
          <w:b/>
          <w:sz w:val="28"/>
          <w:szCs w:val="28"/>
          <w:highlight w:val="yellow"/>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Цілі державної політики у сфері охорони здоров’я направлені на перехід від утримання мережі комунальних закладів охорони здоров’я (ліжок, персоналу) до оплати реальних результатів діяльності цих закладів – фактично наданих пацієнтам медичних послуг та на місцевому рівні здійснюються головним розпорядником бюджетних коштів – управлінням соціального захисту та охорони здоров'я  Новоукраїнської міської ради  (додаток 6).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Граничний обсяг видатків головним розпорядником бюджетних коштів направлено на реалізацію наступних бюджетних програм:</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КПКВ 2010 "Багатопрофільна стаціонарна медична допомога населенню" – реалізує КНП "</w:t>
      </w:r>
      <w:proofErr w:type="spellStart"/>
      <w:r w:rsidRPr="000261B5">
        <w:rPr>
          <w:rFonts w:ascii="Times New Roman" w:hAnsi="Times New Roman"/>
          <w:sz w:val="28"/>
          <w:szCs w:val="28"/>
          <w:lang w:val="uk-UA" w:eastAsia="ru-RU"/>
        </w:rPr>
        <w:t>Новоукраїнська</w:t>
      </w:r>
      <w:proofErr w:type="spellEnd"/>
      <w:r w:rsidRPr="000261B5">
        <w:rPr>
          <w:rFonts w:ascii="Times New Roman" w:hAnsi="Times New Roman"/>
          <w:sz w:val="28"/>
          <w:szCs w:val="28"/>
          <w:lang w:val="uk-UA" w:eastAsia="ru-RU"/>
        </w:rPr>
        <w:t xml:space="preserve">  міська лікарня";</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КПКВ 2111 "Первинна медична допомога населенню, що надається центрами первинної медичної (медико-санітарної) допомоги" – реалізує КНП "Центр первинної медико-санітарної допомоги".</w:t>
      </w:r>
    </w:p>
    <w:p w:rsidR="000261B5" w:rsidRPr="000261B5" w:rsidRDefault="000261B5" w:rsidP="000261B5">
      <w:pPr>
        <w:tabs>
          <w:tab w:val="left" w:pos="1860"/>
        </w:tabs>
        <w:spacing w:after="0" w:line="240" w:lineRule="auto"/>
        <w:ind w:firstLine="709"/>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rPr>
          <w:rFonts w:ascii="Times New Roman" w:hAnsi="Times New Roman"/>
          <w:sz w:val="28"/>
          <w:szCs w:val="28"/>
          <w:lang w:val="uk-UA" w:eastAsia="ru-RU"/>
        </w:rPr>
      </w:pPr>
      <w:r w:rsidRPr="000261B5">
        <w:rPr>
          <w:rFonts w:ascii="Times New Roman" w:hAnsi="Times New Roman"/>
          <w:sz w:val="28"/>
          <w:szCs w:val="28"/>
          <w:lang w:val="uk-UA" w:eastAsia="ru-RU"/>
        </w:rPr>
        <w:t>Основні результати, яких планується досягти:</w:t>
      </w:r>
    </w:p>
    <w:p w:rsidR="000261B5" w:rsidRPr="000261B5" w:rsidRDefault="000261B5" w:rsidP="000261B5">
      <w:pPr>
        <w:tabs>
          <w:tab w:val="left" w:pos="1860"/>
        </w:tabs>
        <w:spacing w:after="0" w:line="240" w:lineRule="auto"/>
        <w:ind w:firstLine="709"/>
        <w:rPr>
          <w:rFonts w:ascii="Times New Roman" w:hAnsi="Times New Roman"/>
          <w:sz w:val="28"/>
          <w:szCs w:val="28"/>
          <w:lang w:val="uk-UA" w:eastAsia="ru-RU"/>
        </w:rPr>
      </w:pPr>
      <w:r w:rsidRPr="000261B5">
        <w:rPr>
          <w:rFonts w:ascii="Times New Roman" w:hAnsi="Times New Roman"/>
          <w:sz w:val="28"/>
          <w:szCs w:val="28"/>
          <w:lang w:val="uk-UA" w:eastAsia="ru-RU"/>
        </w:rPr>
        <w:t>підвищення рівня медичного обслуговування населення;</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запровадження нових підходів до організації роботи закладів охорони здоров’я та їх фінансового забезпечення;</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подальший розвиток системи медичного обслуговування населення та реформування системи охорони здоров’я;</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реалізація Програми розвитку, підтримки комунальних закладів охорони здоров’я та надання медичних послуг жителям Новоукраїнської міської територіальної громади понад обсяг, передбачений програмою державних гарантій медичного обслуговування населення, на 2021-2023 роки зниження рівнів загальної захворюваності населення.</w:t>
      </w:r>
    </w:p>
    <w:p w:rsidR="000261B5" w:rsidRPr="000261B5" w:rsidRDefault="000261B5" w:rsidP="000261B5">
      <w:pPr>
        <w:tabs>
          <w:tab w:val="left" w:pos="1860"/>
        </w:tabs>
        <w:spacing w:after="0" w:line="240" w:lineRule="auto"/>
        <w:rPr>
          <w:rFonts w:ascii="Times New Roman" w:hAnsi="Times New Roman"/>
          <w:sz w:val="28"/>
          <w:szCs w:val="28"/>
          <w:lang w:val="uk-UA" w:eastAsia="ru-RU"/>
        </w:rPr>
      </w:pPr>
    </w:p>
    <w:p w:rsidR="000261B5" w:rsidRPr="000261B5" w:rsidRDefault="000261B5" w:rsidP="000261B5">
      <w:pPr>
        <w:tabs>
          <w:tab w:val="left" w:pos="1860"/>
        </w:tabs>
        <w:spacing w:after="0" w:line="240" w:lineRule="auto"/>
        <w:rPr>
          <w:rFonts w:ascii="Times New Roman" w:hAnsi="Times New Roman"/>
          <w:sz w:val="28"/>
          <w:szCs w:val="28"/>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r w:rsidRPr="000261B5">
        <w:rPr>
          <w:rFonts w:ascii="Times New Roman" w:hAnsi="Times New Roman"/>
          <w:b/>
          <w:sz w:val="28"/>
          <w:szCs w:val="28"/>
          <w:lang w:val="uk-UA" w:eastAsia="ru-RU"/>
        </w:rPr>
        <w:lastRenderedPageBreak/>
        <w:t>Державне управління</w:t>
      </w: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highlight w:val="yellow"/>
          <w:lang w:val="uk-UA" w:eastAsia="ru-RU"/>
        </w:rPr>
      </w:pPr>
      <w:r w:rsidRPr="000261B5">
        <w:rPr>
          <w:rFonts w:ascii="Times New Roman" w:hAnsi="Times New Roman"/>
          <w:sz w:val="28"/>
          <w:szCs w:val="28"/>
          <w:lang w:val="uk-UA" w:eastAsia="ru-RU"/>
        </w:rPr>
        <w:t>Надані законодавством повноваження у сфері державного управління реалізовуються виконавчими органами Новоукраїнської міської ради, у тому числі управліннями, відділами та секторами із загальною чисельністю                       97 штатних одиниць станом на 01.07.2021 року.</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Метою діяльності є організаційне, інформаційно-аналітичне та матеріально-технічне забезпечення функціонування органів місцевого самоврядування, керівництво та управління виконавчими органами у відповідних сферах для ефективного представлення інтересів територіальної громади та здійснення від її імені та в її інтересах функцій і повноважень місцевого самоврядування, визначених Конституцією та законами України.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Пріоритетним напрямком у сфері державного управління є надання виконавчими органами Новоукраїнської міської ради високоякісних і доступних адміністративних, соціальних та інших послуг населенню, сприяння розвитку громадської активності та ініціативності жителів громади, підвищення рівня взаємної довіри та взаємодії між органами місцевого самоврядування та інститутами громадянського суспільства.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У 2022-2024 роках передбачається здійснити такі заходи: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забезпечення принципу прозорості у діяльності виконавчих органів міської ради;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впровадження інформаційних технологій та електронного документообігу.</w:t>
      </w:r>
    </w:p>
    <w:p w:rsidR="000261B5" w:rsidRPr="000261B5" w:rsidRDefault="000261B5" w:rsidP="000261B5">
      <w:pPr>
        <w:tabs>
          <w:tab w:val="left" w:pos="1860"/>
        </w:tabs>
        <w:spacing w:after="0" w:line="240" w:lineRule="auto"/>
        <w:rPr>
          <w:rFonts w:ascii="Times New Roman" w:hAnsi="Times New Roman"/>
          <w:sz w:val="28"/>
          <w:szCs w:val="28"/>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r w:rsidRPr="000261B5">
        <w:rPr>
          <w:rFonts w:ascii="Times New Roman" w:hAnsi="Times New Roman"/>
          <w:b/>
          <w:sz w:val="28"/>
          <w:szCs w:val="28"/>
          <w:lang w:val="uk-UA" w:eastAsia="ru-RU"/>
        </w:rPr>
        <w:t>VIІ. Бюджет розвитку</w:t>
      </w:r>
    </w:p>
    <w:p w:rsidR="000261B5" w:rsidRPr="000261B5" w:rsidRDefault="000261B5" w:rsidP="000261B5">
      <w:pPr>
        <w:tabs>
          <w:tab w:val="left" w:pos="1860"/>
        </w:tabs>
        <w:spacing w:after="0" w:line="240" w:lineRule="auto"/>
        <w:ind w:firstLine="709"/>
        <w:jc w:val="both"/>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Обсяги капітальних вкладень у розрізі інвестиційних проектів та показники бюджету розвитку за основними видами надходжень та орієнтовними обсягами витрат у середньостроковому періоді наведені у додатках 9, 10.</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b/>
          <w:sz w:val="28"/>
          <w:szCs w:val="28"/>
          <w:lang w:val="uk-UA" w:eastAsia="ru-RU"/>
        </w:rPr>
      </w:pPr>
      <w:r w:rsidRPr="000261B5">
        <w:rPr>
          <w:rFonts w:ascii="Times New Roman" w:hAnsi="Times New Roman"/>
          <w:b/>
          <w:sz w:val="28"/>
          <w:szCs w:val="28"/>
          <w:lang w:val="uk-UA" w:eastAsia="ru-RU"/>
        </w:rPr>
        <w:t xml:space="preserve">VIІI. Взаємовідносини бюджету з іншими бюджетами </w:t>
      </w:r>
    </w:p>
    <w:p w:rsidR="000261B5" w:rsidRPr="000261B5" w:rsidRDefault="000261B5" w:rsidP="000261B5">
      <w:pPr>
        <w:tabs>
          <w:tab w:val="left" w:pos="1860"/>
        </w:tabs>
        <w:spacing w:after="0" w:line="240" w:lineRule="auto"/>
        <w:ind w:firstLine="709"/>
        <w:jc w:val="both"/>
        <w:rPr>
          <w:rFonts w:ascii="Times New Roman" w:hAnsi="Times New Roman"/>
          <w:b/>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Обсяги міжбюджетних трансфертів з інших бюджетів для бюджету Новоукраїнської міської територіальної громади на 2022-2024 роки з державного бюджету (освітня субвенція та базова дотація) передбачаються на підставі Бюджетної декларації, прийнятої Верховною Радою України 15 липня 2021 року (додаток 11).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Міжбюджетні трансферти мають цільове спрямування і використовуються відповідно до порядків їх використання. Найбільшу питому вагу у обсязі міжбюджетних трансфертів займає освітня субвенція з державного бюджету.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Темпи зростання обсягів освітньої субвенції з державного бюджету становлять на 2022 рік до плану 2021 року – 109,1%, на 2023 рік до проекту 2022 року – 109,5 %, на 2024 рік до проекту 2023 року – 106,8 %.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Кошти базової  дотації заплановані Міністерством фінансів України відповідно до діючого механізму горизонтального вирівнювання </w:t>
      </w:r>
      <w:r w:rsidRPr="000261B5">
        <w:rPr>
          <w:rFonts w:ascii="Times New Roman" w:hAnsi="Times New Roman"/>
          <w:sz w:val="28"/>
          <w:szCs w:val="28"/>
          <w:lang w:val="uk-UA" w:eastAsia="ru-RU"/>
        </w:rPr>
        <w:lastRenderedPageBreak/>
        <w:t>податкоспроможності бюджетів місцевого самоврядування, визначеного статтею 99 Бюджетного кодексу України, на 2022 рік в сумі – 892800 грн. (темп росту до 2021 року – відсутня базова дотація), на 2023 рік – 1053400 грн. (темп росту до 2022 року – 118,0 %), на 2024 рік – 1243700 грн. (темп росту до 2023 року –118,1 %).</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 xml:space="preserve">На спільне фінансування комунальних некомерційних підприємств, трудового архіву виконавчого комітету міської ради та  дитячо-юнацької спортивної школи  міської ради </w:t>
      </w:r>
      <w:proofErr w:type="spellStart"/>
      <w:r w:rsidRPr="000261B5">
        <w:rPr>
          <w:rFonts w:ascii="Times New Roman" w:hAnsi="Times New Roman"/>
          <w:sz w:val="28"/>
          <w:szCs w:val="28"/>
          <w:lang w:val="uk-UA" w:eastAsia="ru-RU"/>
        </w:rPr>
        <w:t>зпрогнозовано</w:t>
      </w:r>
      <w:proofErr w:type="spellEnd"/>
      <w:r w:rsidRPr="000261B5">
        <w:rPr>
          <w:rFonts w:ascii="Times New Roman" w:hAnsi="Times New Roman"/>
          <w:sz w:val="28"/>
          <w:szCs w:val="28"/>
          <w:lang w:val="uk-UA" w:eastAsia="ru-RU"/>
        </w:rPr>
        <w:t xml:space="preserve"> міжбюджетних трансфертів з інших бюджетів у розмірі: 2022 рік – 3130526 грн., 2023 рік – 3355909 грн. та на 2024 рік – 3593382 грн..</w:t>
      </w:r>
    </w:p>
    <w:p w:rsidR="000261B5" w:rsidRPr="000261B5" w:rsidRDefault="000261B5" w:rsidP="000261B5">
      <w:pPr>
        <w:tabs>
          <w:tab w:val="left" w:pos="1860"/>
        </w:tabs>
        <w:spacing w:after="0" w:line="240" w:lineRule="auto"/>
        <w:rPr>
          <w:rFonts w:ascii="Times New Roman" w:hAnsi="Times New Roman"/>
          <w:sz w:val="28"/>
          <w:szCs w:val="28"/>
          <w:lang w:val="uk-UA" w:eastAsia="ru-RU"/>
        </w:rPr>
      </w:pPr>
    </w:p>
    <w:p w:rsidR="000261B5" w:rsidRPr="000261B5" w:rsidRDefault="000261B5" w:rsidP="000261B5">
      <w:pPr>
        <w:tabs>
          <w:tab w:val="left" w:pos="1860"/>
        </w:tabs>
        <w:spacing w:after="0" w:line="240" w:lineRule="auto"/>
        <w:jc w:val="center"/>
        <w:rPr>
          <w:rFonts w:ascii="Times New Roman" w:hAnsi="Times New Roman"/>
          <w:b/>
          <w:sz w:val="28"/>
          <w:szCs w:val="28"/>
          <w:lang w:val="uk-UA" w:eastAsia="ru-RU"/>
        </w:rPr>
      </w:pPr>
      <w:r w:rsidRPr="000261B5">
        <w:rPr>
          <w:rFonts w:ascii="Times New Roman" w:hAnsi="Times New Roman"/>
          <w:b/>
          <w:sz w:val="28"/>
          <w:szCs w:val="28"/>
          <w:lang w:val="uk-UA" w:eastAsia="ru-RU"/>
        </w:rPr>
        <w:t>IX. Інші положення та показники прогнозу бюджету</w:t>
      </w:r>
    </w:p>
    <w:p w:rsidR="000261B5" w:rsidRPr="000261B5" w:rsidRDefault="000261B5" w:rsidP="000261B5">
      <w:pPr>
        <w:tabs>
          <w:tab w:val="left" w:pos="1860"/>
        </w:tabs>
        <w:spacing w:after="0" w:line="240" w:lineRule="auto"/>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У прогнозі бюджету Новоукраїнської міської територіальної громади на 2022-2024 роки відсутня інформація для заповнення додатків 4 "Показники місцевого боргу",  5 "Показники гарантованого територіальною громадою міста боргу і надання місцевих гарантій" та 8 "Граничні показники кредитування бюджету за Типовою програмною класифікацією видатків та кредитування місцевого бюджету".</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r w:rsidRPr="000261B5">
        <w:rPr>
          <w:rFonts w:ascii="Times New Roman" w:hAnsi="Times New Roman"/>
          <w:sz w:val="28"/>
          <w:szCs w:val="28"/>
          <w:lang w:val="uk-UA" w:eastAsia="ru-RU"/>
        </w:rPr>
        <w:t>Конкретні показники обсягів бюджету Новоукраїнської міської територіальної громади на 2022-2024 роки будуть уточнюватися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1860"/>
        </w:tabs>
        <w:spacing w:after="0" w:line="240" w:lineRule="auto"/>
        <w:ind w:firstLine="709"/>
        <w:jc w:val="both"/>
        <w:rPr>
          <w:rFonts w:ascii="Times New Roman" w:hAnsi="Times New Roman"/>
          <w:sz w:val="28"/>
          <w:szCs w:val="28"/>
          <w:lang w:val="uk-UA" w:eastAsia="ru-RU"/>
        </w:rPr>
      </w:pPr>
    </w:p>
    <w:p w:rsidR="000261B5" w:rsidRPr="000261B5" w:rsidRDefault="000261B5" w:rsidP="000261B5">
      <w:pPr>
        <w:tabs>
          <w:tab w:val="left" w:pos="0"/>
          <w:tab w:val="left" w:pos="1860"/>
        </w:tabs>
        <w:spacing w:after="0" w:line="240" w:lineRule="auto"/>
        <w:jc w:val="both"/>
        <w:rPr>
          <w:rFonts w:ascii="Times New Roman" w:hAnsi="Times New Roman"/>
          <w:sz w:val="28"/>
          <w:szCs w:val="28"/>
          <w:lang w:val="uk-UA" w:eastAsia="ru-RU"/>
        </w:rPr>
      </w:pPr>
      <w:r w:rsidRPr="000261B5">
        <w:rPr>
          <w:rFonts w:ascii="Times New Roman" w:hAnsi="Times New Roman"/>
          <w:sz w:val="28"/>
          <w:szCs w:val="28"/>
          <w:lang w:val="uk-UA" w:eastAsia="ru-RU"/>
        </w:rPr>
        <w:t>Начальник фінансового управління</w:t>
      </w:r>
    </w:p>
    <w:p w:rsidR="000261B5" w:rsidRPr="000261B5" w:rsidRDefault="000261B5" w:rsidP="000261B5">
      <w:pPr>
        <w:tabs>
          <w:tab w:val="left" w:pos="0"/>
          <w:tab w:val="left" w:pos="1860"/>
        </w:tabs>
        <w:spacing w:after="0" w:line="240" w:lineRule="auto"/>
        <w:jc w:val="both"/>
        <w:rPr>
          <w:rFonts w:ascii="Times New Roman" w:hAnsi="Times New Roman"/>
          <w:sz w:val="28"/>
          <w:szCs w:val="28"/>
          <w:lang w:val="uk-UA" w:eastAsia="ru-RU"/>
        </w:rPr>
      </w:pPr>
      <w:r w:rsidRPr="000261B5">
        <w:rPr>
          <w:rFonts w:ascii="Times New Roman" w:hAnsi="Times New Roman"/>
          <w:sz w:val="28"/>
          <w:szCs w:val="28"/>
          <w:lang w:val="uk-UA" w:eastAsia="ru-RU"/>
        </w:rPr>
        <w:t>Новоукраїнської міської ради</w:t>
      </w:r>
      <w:r w:rsidRPr="000261B5">
        <w:rPr>
          <w:rFonts w:ascii="Times New Roman" w:hAnsi="Times New Roman"/>
          <w:sz w:val="28"/>
          <w:szCs w:val="28"/>
          <w:lang w:val="uk-UA" w:eastAsia="ru-RU"/>
        </w:rPr>
        <w:tab/>
      </w:r>
      <w:r w:rsidRPr="000261B5">
        <w:rPr>
          <w:rFonts w:ascii="Times New Roman" w:hAnsi="Times New Roman"/>
          <w:sz w:val="28"/>
          <w:szCs w:val="28"/>
          <w:lang w:val="uk-UA" w:eastAsia="ru-RU"/>
        </w:rPr>
        <w:tab/>
      </w:r>
      <w:r w:rsidRPr="000261B5">
        <w:rPr>
          <w:rFonts w:ascii="Times New Roman" w:hAnsi="Times New Roman"/>
          <w:sz w:val="28"/>
          <w:szCs w:val="28"/>
          <w:lang w:val="uk-UA" w:eastAsia="ru-RU"/>
        </w:rPr>
        <w:tab/>
      </w:r>
      <w:r w:rsidRPr="000261B5">
        <w:rPr>
          <w:rFonts w:ascii="Times New Roman" w:hAnsi="Times New Roman"/>
          <w:sz w:val="28"/>
          <w:szCs w:val="28"/>
          <w:lang w:val="uk-UA" w:eastAsia="ru-RU"/>
        </w:rPr>
        <w:tab/>
      </w:r>
      <w:r w:rsidRPr="000261B5">
        <w:rPr>
          <w:rFonts w:ascii="Times New Roman" w:hAnsi="Times New Roman"/>
          <w:sz w:val="28"/>
          <w:szCs w:val="28"/>
          <w:lang w:val="uk-UA" w:eastAsia="ru-RU"/>
        </w:rPr>
        <w:tab/>
        <w:t>Антоніна КОЛПАК</w:t>
      </w:r>
    </w:p>
    <w:p w:rsidR="000261B5" w:rsidRPr="00E5498C" w:rsidRDefault="000261B5" w:rsidP="008E4F45">
      <w:pPr>
        <w:tabs>
          <w:tab w:val="left" w:pos="1860"/>
        </w:tabs>
        <w:spacing w:after="0" w:line="240" w:lineRule="auto"/>
        <w:rPr>
          <w:rFonts w:ascii="Times New Roman" w:hAnsi="Times New Roman"/>
          <w:sz w:val="28"/>
          <w:szCs w:val="28"/>
          <w:lang w:val="uk-UA" w:eastAsia="ru-RU"/>
        </w:rPr>
      </w:pPr>
    </w:p>
    <w:sectPr w:rsidR="000261B5" w:rsidRPr="00E5498C" w:rsidSect="0024653E">
      <w:pgSz w:w="11906" w:h="16838" w:code="9"/>
      <w:pgMar w:top="567"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EEB39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D40EA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52427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6841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088D8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E8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3C227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80CE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EC9E7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08E216C"/>
    <w:lvl w:ilvl="0">
      <w:start w:val="1"/>
      <w:numFmt w:val="bullet"/>
      <w:lvlText w:val=""/>
      <w:lvlJc w:val="left"/>
      <w:pPr>
        <w:tabs>
          <w:tab w:val="num" w:pos="360"/>
        </w:tabs>
        <w:ind w:left="360" w:hanging="360"/>
      </w:pPr>
      <w:rPr>
        <w:rFonts w:ascii="Symbol" w:hAnsi="Symbol" w:hint="default"/>
      </w:rPr>
    </w:lvl>
  </w:abstractNum>
  <w:abstractNum w:abstractNumId="10">
    <w:nsid w:val="36D13566"/>
    <w:multiLevelType w:val="hybridMultilevel"/>
    <w:tmpl w:val="5762E2BA"/>
    <w:lvl w:ilvl="0" w:tplc="67FEDE86">
      <w:numFmt w:val="bullet"/>
      <w:lvlText w:val="-"/>
      <w:lvlJc w:val="left"/>
      <w:pPr>
        <w:ind w:left="1069" w:hanging="360"/>
      </w:pPr>
      <w:rPr>
        <w:rFonts w:ascii="Times New Roman" w:eastAsia="SimSu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578F4330"/>
    <w:multiLevelType w:val="hybridMultilevel"/>
    <w:tmpl w:val="AAB43328"/>
    <w:lvl w:ilvl="0" w:tplc="1C3ED5B8">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E88"/>
    <w:rsid w:val="00002634"/>
    <w:rsid w:val="00002A2B"/>
    <w:rsid w:val="00010C0B"/>
    <w:rsid w:val="00013959"/>
    <w:rsid w:val="00015302"/>
    <w:rsid w:val="000168D1"/>
    <w:rsid w:val="0002476D"/>
    <w:rsid w:val="000261B5"/>
    <w:rsid w:val="00027DE8"/>
    <w:rsid w:val="00031707"/>
    <w:rsid w:val="00031FD7"/>
    <w:rsid w:val="00033C66"/>
    <w:rsid w:val="00037398"/>
    <w:rsid w:val="000403CB"/>
    <w:rsid w:val="00043D28"/>
    <w:rsid w:val="000548DC"/>
    <w:rsid w:val="00056EBF"/>
    <w:rsid w:val="00060F28"/>
    <w:rsid w:val="0007776A"/>
    <w:rsid w:val="000818D6"/>
    <w:rsid w:val="00083BAB"/>
    <w:rsid w:val="0008519C"/>
    <w:rsid w:val="000900E2"/>
    <w:rsid w:val="000A01E6"/>
    <w:rsid w:val="000A6A86"/>
    <w:rsid w:val="000B0C1B"/>
    <w:rsid w:val="000B678D"/>
    <w:rsid w:val="000B7305"/>
    <w:rsid w:val="000C7AAC"/>
    <w:rsid w:val="000D7E78"/>
    <w:rsid w:val="000E1A6B"/>
    <w:rsid w:val="000E3898"/>
    <w:rsid w:val="000E737D"/>
    <w:rsid w:val="000F02B3"/>
    <w:rsid w:val="000F156F"/>
    <w:rsid w:val="000F7108"/>
    <w:rsid w:val="00105177"/>
    <w:rsid w:val="001128FA"/>
    <w:rsid w:val="00115494"/>
    <w:rsid w:val="00116A26"/>
    <w:rsid w:val="00117216"/>
    <w:rsid w:val="00117719"/>
    <w:rsid w:val="001335A4"/>
    <w:rsid w:val="00150AD8"/>
    <w:rsid w:val="00156A29"/>
    <w:rsid w:val="00172E89"/>
    <w:rsid w:val="00175581"/>
    <w:rsid w:val="0018038B"/>
    <w:rsid w:val="00182702"/>
    <w:rsid w:val="00187E44"/>
    <w:rsid w:val="001906F9"/>
    <w:rsid w:val="001914F9"/>
    <w:rsid w:val="00193256"/>
    <w:rsid w:val="00194DAB"/>
    <w:rsid w:val="001B3002"/>
    <w:rsid w:val="001C3857"/>
    <w:rsid w:val="001D34B9"/>
    <w:rsid w:val="001D4583"/>
    <w:rsid w:val="001E30B9"/>
    <w:rsid w:val="001E3184"/>
    <w:rsid w:val="001E501B"/>
    <w:rsid w:val="001E7967"/>
    <w:rsid w:val="001F6556"/>
    <w:rsid w:val="001F746F"/>
    <w:rsid w:val="00201A5E"/>
    <w:rsid w:val="002058C8"/>
    <w:rsid w:val="002161D5"/>
    <w:rsid w:val="00216DD2"/>
    <w:rsid w:val="00223AD2"/>
    <w:rsid w:val="00225A57"/>
    <w:rsid w:val="00226238"/>
    <w:rsid w:val="00233DCC"/>
    <w:rsid w:val="00241B9C"/>
    <w:rsid w:val="002458DC"/>
    <w:rsid w:val="00246352"/>
    <w:rsid w:val="0024653E"/>
    <w:rsid w:val="0025732C"/>
    <w:rsid w:val="00274A0B"/>
    <w:rsid w:val="002807C6"/>
    <w:rsid w:val="00281430"/>
    <w:rsid w:val="00281648"/>
    <w:rsid w:val="00282C5A"/>
    <w:rsid w:val="00283634"/>
    <w:rsid w:val="00284C9C"/>
    <w:rsid w:val="00294458"/>
    <w:rsid w:val="00294746"/>
    <w:rsid w:val="0029573B"/>
    <w:rsid w:val="002A216D"/>
    <w:rsid w:val="002A76E8"/>
    <w:rsid w:val="002B2F27"/>
    <w:rsid w:val="002B6817"/>
    <w:rsid w:val="002C0276"/>
    <w:rsid w:val="002C112A"/>
    <w:rsid w:val="002C4795"/>
    <w:rsid w:val="002C7A32"/>
    <w:rsid w:val="002D655E"/>
    <w:rsid w:val="002D7A21"/>
    <w:rsid w:val="002D7DFE"/>
    <w:rsid w:val="002E2C4C"/>
    <w:rsid w:val="002E3466"/>
    <w:rsid w:val="002E48E9"/>
    <w:rsid w:val="002E4DD3"/>
    <w:rsid w:val="002E75F6"/>
    <w:rsid w:val="003036D7"/>
    <w:rsid w:val="003057CE"/>
    <w:rsid w:val="00311751"/>
    <w:rsid w:val="00326714"/>
    <w:rsid w:val="0033087F"/>
    <w:rsid w:val="0033193E"/>
    <w:rsid w:val="0033451C"/>
    <w:rsid w:val="003353BB"/>
    <w:rsid w:val="003424CE"/>
    <w:rsid w:val="00344ED4"/>
    <w:rsid w:val="00346482"/>
    <w:rsid w:val="00362BB8"/>
    <w:rsid w:val="00362C43"/>
    <w:rsid w:val="00365153"/>
    <w:rsid w:val="00372019"/>
    <w:rsid w:val="00376E27"/>
    <w:rsid w:val="00380F73"/>
    <w:rsid w:val="00392A78"/>
    <w:rsid w:val="003954C3"/>
    <w:rsid w:val="003C03DE"/>
    <w:rsid w:val="003C2066"/>
    <w:rsid w:val="003C3B1D"/>
    <w:rsid w:val="003D51C9"/>
    <w:rsid w:val="003F2218"/>
    <w:rsid w:val="0041107D"/>
    <w:rsid w:val="0041274F"/>
    <w:rsid w:val="00414DB4"/>
    <w:rsid w:val="00421EF9"/>
    <w:rsid w:val="00423F80"/>
    <w:rsid w:val="00424231"/>
    <w:rsid w:val="00434B13"/>
    <w:rsid w:val="00434E35"/>
    <w:rsid w:val="00462D05"/>
    <w:rsid w:val="00463B83"/>
    <w:rsid w:val="00467132"/>
    <w:rsid w:val="00472812"/>
    <w:rsid w:val="00474471"/>
    <w:rsid w:val="00494DEE"/>
    <w:rsid w:val="0049577C"/>
    <w:rsid w:val="004A4A4A"/>
    <w:rsid w:val="004B265E"/>
    <w:rsid w:val="004B40A8"/>
    <w:rsid w:val="004B490D"/>
    <w:rsid w:val="004C32C3"/>
    <w:rsid w:val="004C506B"/>
    <w:rsid w:val="004C5C12"/>
    <w:rsid w:val="004D434D"/>
    <w:rsid w:val="004D4E11"/>
    <w:rsid w:val="004E0D95"/>
    <w:rsid w:val="004E2809"/>
    <w:rsid w:val="004E5B25"/>
    <w:rsid w:val="004F170A"/>
    <w:rsid w:val="004F5723"/>
    <w:rsid w:val="004F593A"/>
    <w:rsid w:val="004F5BB1"/>
    <w:rsid w:val="00500E1F"/>
    <w:rsid w:val="00510557"/>
    <w:rsid w:val="0052288D"/>
    <w:rsid w:val="00532D6D"/>
    <w:rsid w:val="005438A2"/>
    <w:rsid w:val="00555382"/>
    <w:rsid w:val="00556B6A"/>
    <w:rsid w:val="005607CE"/>
    <w:rsid w:val="00562E30"/>
    <w:rsid w:val="00576231"/>
    <w:rsid w:val="005A2646"/>
    <w:rsid w:val="005A35CF"/>
    <w:rsid w:val="005B339C"/>
    <w:rsid w:val="005C23B5"/>
    <w:rsid w:val="005C3B1D"/>
    <w:rsid w:val="005D4867"/>
    <w:rsid w:val="005D6CA5"/>
    <w:rsid w:val="005E07C0"/>
    <w:rsid w:val="005E1DE2"/>
    <w:rsid w:val="005E4096"/>
    <w:rsid w:val="005E6E1E"/>
    <w:rsid w:val="005F3F95"/>
    <w:rsid w:val="00613E1F"/>
    <w:rsid w:val="006239E7"/>
    <w:rsid w:val="00624EDF"/>
    <w:rsid w:val="00637E7B"/>
    <w:rsid w:val="00640E16"/>
    <w:rsid w:val="006442BF"/>
    <w:rsid w:val="006529AB"/>
    <w:rsid w:val="006533FA"/>
    <w:rsid w:val="0065569B"/>
    <w:rsid w:val="00655F8D"/>
    <w:rsid w:val="0066338B"/>
    <w:rsid w:val="006724A2"/>
    <w:rsid w:val="0067399B"/>
    <w:rsid w:val="00673B9B"/>
    <w:rsid w:val="00673E8A"/>
    <w:rsid w:val="0067445B"/>
    <w:rsid w:val="00675E62"/>
    <w:rsid w:val="006914C6"/>
    <w:rsid w:val="006A0CA2"/>
    <w:rsid w:val="006A7A89"/>
    <w:rsid w:val="006B0FBF"/>
    <w:rsid w:val="006B595C"/>
    <w:rsid w:val="006B6B22"/>
    <w:rsid w:val="006D50E6"/>
    <w:rsid w:val="006E0129"/>
    <w:rsid w:val="006E0E62"/>
    <w:rsid w:val="006F2A4C"/>
    <w:rsid w:val="006F6C61"/>
    <w:rsid w:val="00705066"/>
    <w:rsid w:val="007073B8"/>
    <w:rsid w:val="00712E49"/>
    <w:rsid w:val="0072289C"/>
    <w:rsid w:val="00723728"/>
    <w:rsid w:val="007257A0"/>
    <w:rsid w:val="007320A9"/>
    <w:rsid w:val="007631AE"/>
    <w:rsid w:val="007648B3"/>
    <w:rsid w:val="007743AD"/>
    <w:rsid w:val="00774C8A"/>
    <w:rsid w:val="0077666E"/>
    <w:rsid w:val="00781A92"/>
    <w:rsid w:val="007859B2"/>
    <w:rsid w:val="00790425"/>
    <w:rsid w:val="007946B1"/>
    <w:rsid w:val="007A0043"/>
    <w:rsid w:val="007A263D"/>
    <w:rsid w:val="007A394D"/>
    <w:rsid w:val="007A4625"/>
    <w:rsid w:val="007B28E5"/>
    <w:rsid w:val="007C036E"/>
    <w:rsid w:val="007C705C"/>
    <w:rsid w:val="007D12DA"/>
    <w:rsid w:val="007D30DC"/>
    <w:rsid w:val="007D53BA"/>
    <w:rsid w:val="007F276A"/>
    <w:rsid w:val="00800E59"/>
    <w:rsid w:val="00803BDF"/>
    <w:rsid w:val="008050B5"/>
    <w:rsid w:val="00807CB8"/>
    <w:rsid w:val="00811DA6"/>
    <w:rsid w:val="00822113"/>
    <w:rsid w:val="0083052B"/>
    <w:rsid w:val="00833879"/>
    <w:rsid w:val="00833CA8"/>
    <w:rsid w:val="00852687"/>
    <w:rsid w:val="00855BF4"/>
    <w:rsid w:val="00874A9C"/>
    <w:rsid w:val="008758C7"/>
    <w:rsid w:val="00880186"/>
    <w:rsid w:val="008839D3"/>
    <w:rsid w:val="00886225"/>
    <w:rsid w:val="00886D79"/>
    <w:rsid w:val="00891367"/>
    <w:rsid w:val="00897262"/>
    <w:rsid w:val="008A450C"/>
    <w:rsid w:val="008A4AF5"/>
    <w:rsid w:val="008A5917"/>
    <w:rsid w:val="008B37A0"/>
    <w:rsid w:val="008B525E"/>
    <w:rsid w:val="008C581F"/>
    <w:rsid w:val="008C6B29"/>
    <w:rsid w:val="008D0CCB"/>
    <w:rsid w:val="008D107C"/>
    <w:rsid w:val="008D3022"/>
    <w:rsid w:val="008E44FC"/>
    <w:rsid w:val="008E4F45"/>
    <w:rsid w:val="008F130C"/>
    <w:rsid w:val="008F25D8"/>
    <w:rsid w:val="0090046A"/>
    <w:rsid w:val="00900F61"/>
    <w:rsid w:val="009131A0"/>
    <w:rsid w:val="00921EDE"/>
    <w:rsid w:val="009243A8"/>
    <w:rsid w:val="009261CA"/>
    <w:rsid w:val="00932C2D"/>
    <w:rsid w:val="00936143"/>
    <w:rsid w:val="00941430"/>
    <w:rsid w:val="00945E39"/>
    <w:rsid w:val="00961681"/>
    <w:rsid w:val="009626A5"/>
    <w:rsid w:val="00963CEB"/>
    <w:rsid w:val="00966CD2"/>
    <w:rsid w:val="009739DA"/>
    <w:rsid w:val="0097597C"/>
    <w:rsid w:val="00977070"/>
    <w:rsid w:val="0098302B"/>
    <w:rsid w:val="00985D20"/>
    <w:rsid w:val="00992E74"/>
    <w:rsid w:val="00993BA6"/>
    <w:rsid w:val="009A0C7F"/>
    <w:rsid w:val="009A3E9B"/>
    <w:rsid w:val="009A7F18"/>
    <w:rsid w:val="009B017D"/>
    <w:rsid w:val="009B6454"/>
    <w:rsid w:val="009C2D82"/>
    <w:rsid w:val="009C45D3"/>
    <w:rsid w:val="009C4BE4"/>
    <w:rsid w:val="009D08D7"/>
    <w:rsid w:val="009D1A81"/>
    <w:rsid w:val="009D48E9"/>
    <w:rsid w:val="009E1EAB"/>
    <w:rsid w:val="009E66C3"/>
    <w:rsid w:val="009F330F"/>
    <w:rsid w:val="00A11075"/>
    <w:rsid w:val="00A14F5F"/>
    <w:rsid w:val="00A25EAD"/>
    <w:rsid w:val="00A26FBE"/>
    <w:rsid w:val="00A3185A"/>
    <w:rsid w:val="00A35E74"/>
    <w:rsid w:val="00A37349"/>
    <w:rsid w:val="00A417A8"/>
    <w:rsid w:val="00A45121"/>
    <w:rsid w:val="00A47A69"/>
    <w:rsid w:val="00A5038C"/>
    <w:rsid w:val="00A541E6"/>
    <w:rsid w:val="00A73B32"/>
    <w:rsid w:val="00A866BB"/>
    <w:rsid w:val="00A86B74"/>
    <w:rsid w:val="00A94ABA"/>
    <w:rsid w:val="00A96C2E"/>
    <w:rsid w:val="00AA3A76"/>
    <w:rsid w:val="00AA3A79"/>
    <w:rsid w:val="00AB09A1"/>
    <w:rsid w:val="00AB1BB8"/>
    <w:rsid w:val="00AB400F"/>
    <w:rsid w:val="00AB483A"/>
    <w:rsid w:val="00AB4A12"/>
    <w:rsid w:val="00AC3107"/>
    <w:rsid w:val="00AC46CA"/>
    <w:rsid w:val="00AD3664"/>
    <w:rsid w:val="00AE0E48"/>
    <w:rsid w:val="00B068ED"/>
    <w:rsid w:val="00B17540"/>
    <w:rsid w:val="00B2064D"/>
    <w:rsid w:val="00B257BA"/>
    <w:rsid w:val="00B3692B"/>
    <w:rsid w:val="00B42511"/>
    <w:rsid w:val="00B50541"/>
    <w:rsid w:val="00B50F25"/>
    <w:rsid w:val="00B626F9"/>
    <w:rsid w:val="00B67070"/>
    <w:rsid w:val="00B7145F"/>
    <w:rsid w:val="00B7274E"/>
    <w:rsid w:val="00B73696"/>
    <w:rsid w:val="00B74897"/>
    <w:rsid w:val="00B872ED"/>
    <w:rsid w:val="00B90E5B"/>
    <w:rsid w:val="00B9728F"/>
    <w:rsid w:val="00BA0B77"/>
    <w:rsid w:val="00BB0335"/>
    <w:rsid w:val="00BD10ED"/>
    <w:rsid w:val="00BD22D3"/>
    <w:rsid w:val="00BD4063"/>
    <w:rsid w:val="00BF13B4"/>
    <w:rsid w:val="00BF4E1E"/>
    <w:rsid w:val="00C14E3C"/>
    <w:rsid w:val="00C24DD7"/>
    <w:rsid w:val="00C25CEE"/>
    <w:rsid w:val="00C33284"/>
    <w:rsid w:val="00C34D9F"/>
    <w:rsid w:val="00C35FBC"/>
    <w:rsid w:val="00C40ABE"/>
    <w:rsid w:val="00C50563"/>
    <w:rsid w:val="00C62C5B"/>
    <w:rsid w:val="00C67365"/>
    <w:rsid w:val="00C70343"/>
    <w:rsid w:val="00C73BD0"/>
    <w:rsid w:val="00C74BF2"/>
    <w:rsid w:val="00C770BD"/>
    <w:rsid w:val="00C80BF6"/>
    <w:rsid w:val="00C870B9"/>
    <w:rsid w:val="00CA6627"/>
    <w:rsid w:val="00CA6F37"/>
    <w:rsid w:val="00CB7E05"/>
    <w:rsid w:val="00CC0018"/>
    <w:rsid w:val="00CC3441"/>
    <w:rsid w:val="00CC7947"/>
    <w:rsid w:val="00CD576B"/>
    <w:rsid w:val="00CD6CBB"/>
    <w:rsid w:val="00CE519D"/>
    <w:rsid w:val="00CE61D0"/>
    <w:rsid w:val="00CF314D"/>
    <w:rsid w:val="00D110F0"/>
    <w:rsid w:val="00D24B9A"/>
    <w:rsid w:val="00D26386"/>
    <w:rsid w:val="00D31244"/>
    <w:rsid w:val="00D51124"/>
    <w:rsid w:val="00D54B84"/>
    <w:rsid w:val="00D822AD"/>
    <w:rsid w:val="00D8249E"/>
    <w:rsid w:val="00D85474"/>
    <w:rsid w:val="00D8615F"/>
    <w:rsid w:val="00D938C2"/>
    <w:rsid w:val="00D97AAF"/>
    <w:rsid w:val="00DA1C8E"/>
    <w:rsid w:val="00DA5053"/>
    <w:rsid w:val="00DA6641"/>
    <w:rsid w:val="00DA6C94"/>
    <w:rsid w:val="00DB17CF"/>
    <w:rsid w:val="00DB602B"/>
    <w:rsid w:val="00DB7BED"/>
    <w:rsid w:val="00DC463C"/>
    <w:rsid w:val="00DD375A"/>
    <w:rsid w:val="00DD7EE9"/>
    <w:rsid w:val="00DE1946"/>
    <w:rsid w:val="00DE1A4F"/>
    <w:rsid w:val="00DF0724"/>
    <w:rsid w:val="00DF1AA2"/>
    <w:rsid w:val="00DF604F"/>
    <w:rsid w:val="00E04D6C"/>
    <w:rsid w:val="00E06B67"/>
    <w:rsid w:val="00E06E21"/>
    <w:rsid w:val="00E26DE4"/>
    <w:rsid w:val="00E27363"/>
    <w:rsid w:val="00E30ECD"/>
    <w:rsid w:val="00E34478"/>
    <w:rsid w:val="00E37FB6"/>
    <w:rsid w:val="00E42044"/>
    <w:rsid w:val="00E42DDC"/>
    <w:rsid w:val="00E45E88"/>
    <w:rsid w:val="00E5498C"/>
    <w:rsid w:val="00E61262"/>
    <w:rsid w:val="00E62E45"/>
    <w:rsid w:val="00E63755"/>
    <w:rsid w:val="00E6795D"/>
    <w:rsid w:val="00E71673"/>
    <w:rsid w:val="00E81FD3"/>
    <w:rsid w:val="00E84F6A"/>
    <w:rsid w:val="00E85B1A"/>
    <w:rsid w:val="00EA0BB3"/>
    <w:rsid w:val="00EA1224"/>
    <w:rsid w:val="00EA5ED2"/>
    <w:rsid w:val="00EB3DB9"/>
    <w:rsid w:val="00EC51F7"/>
    <w:rsid w:val="00ED221E"/>
    <w:rsid w:val="00ED23B9"/>
    <w:rsid w:val="00ED37DB"/>
    <w:rsid w:val="00EF6366"/>
    <w:rsid w:val="00F00FEE"/>
    <w:rsid w:val="00F0705C"/>
    <w:rsid w:val="00F136EA"/>
    <w:rsid w:val="00F26A1F"/>
    <w:rsid w:val="00F26E17"/>
    <w:rsid w:val="00F36267"/>
    <w:rsid w:val="00F41813"/>
    <w:rsid w:val="00F457AD"/>
    <w:rsid w:val="00F462FE"/>
    <w:rsid w:val="00F5153C"/>
    <w:rsid w:val="00F5363A"/>
    <w:rsid w:val="00F5477E"/>
    <w:rsid w:val="00F562D4"/>
    <w:rsid w:val="00F80280"/>
    <w:rsid w:val="00F91750"/>
    <w:rsid w:val="00F94530"/>
    <w:rsid w:val="00FA3159"/>
    <w:rsid w:val="00FA6928"/>
    <w:rsid w:val="00FA79AA"/>
    <w:rsid w:val="00FB2CBE"/>
    <w:rsid w:val="00FC68AE"/>
    <w:rsid w:val="00FD021E"/>
    <w:rsid w:val="00FD2F4E"/>
    <w:rsid w:val="00FD53B7"/>
    <w:rsid w:val="00FE063F"/>
    <w:rsid w:val="00FE13A2"/>
    <w:rsid w:val="00FE17FA"/>
    <w:rsid w:val="00FF5EA0"/>
    <w:rsid w:val="00FF7B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45E88"/>
    <w:pPr>
      <w:spacing w:after="0" w:line="240" w:lineRule="auto"/>
    </w:pPr>
    <w:rPr>
      <w:rFonts w:ascii="Tahoma" w:hAnsi="Tahoma"/>
      <w:sz w:val="16"/>
      <w:szCs w:val="20"/>
      <w:lang w:val="uk-UA" w:eastAsia="uk-UA"/>
    </w:rPr>
  </w:style>
  <w:style w:type="character" w:customStyle="1" w:styleId="a4">
    <w:name w:val="Текст выноски Знак"/>
    <w:link w:val="a3"/>
    <w:uiPriority w:val="99"/>
    <w:semiHidden/>
    <w:locked/>
    <w:rsid w:val="00E45E88"/>
    <w:rPr>
      <w:rFonts w:ascii="Tahoma" w:hAnsi="Tahoma"/>
      <w:sz w:val="16"/>
    </w:rPr>
  </w:style>
  <w:style w:type="paragraph" w:styleId="a5">
    <w:name w:val="List Paragraph"/>
    <w:basedOn w:val="a"/>
    <w:uiPriority w:val="99"/>
    <w:qFormat/>
    <w:rsid w:val="000E737D"/>
    <w:pPr>
      <w:ind w:left="720"/>
      <w:contextualSpacing/>
    </w:pPr>
  </w:style>
  <w:style w:type="paragraph" w:styleId="a6">
    <w:name w:val="Normal (Web)"/>
    <w:basedOn w:val="a"/>
    <w:uiPriority w:val="99"/>
    <w:semiHidden/>
    <w:rsid w:val="00A96C2E"/>
    <w:rPr>
      <w:rFonts w:ascii="Times New Roman" w:hAnsi="Times New Roman"/>
      <w:sz w:val="24"/>
      <w:szCs w:val="24"/>
    </w:rPr>
  </w:style>
  <w:style w:type="character" w:styleId="a7">
    <w:name w:val="Hyperlink"/>
    <w:uiPriority w:val="99"/>
    <w:rsid w:val="0049577C"/>
    <w:rPr>
      <w:rFonts w:cs="Times New Roman"/>
      <w:color w:val="0000FF"/>
      <w:u w:val="single"/>
    </w:rPr>
  </w:style>
  <w:style w:type="paragraph" w:customStyle="1" w:styleId="StyleZakonu">
    <w:name w:val="StyleZakonu"/>
    <w:basedOn w:val="a"/>
    <w:link w:val="StyleZakonu0"/>
    <w:uiPriority w:val="99"/>
    <w:rsid w:val="00D26386"/>
    <w:pPr>
      <w:spacing w:after="60" w:line="220" w:lineRule="exact"/>
      <w:ind w:firstLine="284"/>
      <w:jc w:val="both"/>
    </w:pPr>
    <w:rPr>
      <w:sz w:val="20"/>
      <w:szCs w:val="20"/>
      <w:lang w:val="uk-UA" w:eastAsia="ru-RU"/>
    </w:rPr>
  </w:style>
  <w:style w:type="character" w:customStyle="1" w:styleId="StyleZakonu0">
    <w:name w:val="StyleZakonu Знак"/>
    <w:link w:val="StyleZakonu"/>
    <w:uiPriority w:val="99"/>
    <w:locked/>
    <w:rsid w:val="00D26386"/>
    <w:rPr>
      <w:lang w:val="uk-UA" w:eastAsia="ru-RU"/>
    </w:rPr>
  </w:style>
  <w:style w:type="paragraph" w:styleId="a8">
    <w:name w:val="Body Text"/>
    <w:basedOn w:val="a"/>
    <w:link w:val="a9"/>
    <w:uiPriority w:val="99"/>
    <w:rsid w:val="002B2F27"/>
    <w:pPr>
      <w:spacing w:after="120"/>
    </w:pPr>
    <w:rPr>
      <w:sz w:val="20"/>
      <w:szCs w:val="20"/>
    </w:rPr>
  </w:style>
  <w:style w:type="character" w:customStyle="1" w:styleId="a9">
    <w:name w:val="Основной текст Знак"/>
    <w:link w:val="a8"/>
    <w:uiPriority w:val="99"/>
    <w:semiHidden/>
    <w:locked/>
    <w:rsid w:val="00A3185A"/>
    <w:rPr>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45E88"/>
    <w:pPr>
      <w:spacing w:after="0" w:line="240" w:lineRule="auto"/>
    </w:pPr>
    <w:rPr>
      <w:rFonts w:ascii="Tahoma" w:hAnsi="Tahoma"/>
      <w:sz w:val="16"/>
      <w:szCs w:val="20"/>
      <w:lang w:val="uk-UA" w:eastAsia="uk-UA"/>
    </w:rPr>
  </w:style>
  <w:style w:type="character" w:customStyle="1" w:styleId="a4">
    <w:name w:val="Текст выноски Знак"/>
    <w:link w:val="a3"/>
    <w:uiPriority w:val="99"/>
    <w:semiHidden/>
    <w:locked/>
    <w:rsid w:val="00E45E88"/>
    <w:rPr>
      <w:rFonts w:ascii="Tahoma" w:hAnsi="Tahoma"/>
      <w:sz w:val="16"/>
    </w:rPr>
  </w:style>
  <w:style w:type="paragraph" w:styleId="a5">
    <w:name w:val="List Paragraph"/>
    <w:basedOn w:val="a"/>
    <w:uiPriority w:val="99"/>
    <w:qFormat/>
    <w:rsid w:val="000E737D"/>
    <w:pPr>
      <w:ind w:left="720"/>
      <w:contextualSpacing/>
    </w:pPr>
  </w:style>
  <w:style w:type="paragraph" w:styleId="a6">
    <w:name w:val="Normal (Web)"/>
    <w:basedOn w:val="a"/>
    <w:uiPriority w:val="99"/>
    <w:semiHidden/>
    <w:rsid w:val="00A96C2E"/>
    <w:rPr>
      <w:rFonts w:ascii="Times New Roman" w:hAnsi="Times New Roman"/>
      <w:sz w:val="24"/>
      <w:szCs w:val="24"/>
    </w:rPr>
  </w:style>
  <w:style w:type="character" w:styleId="a7">
    <w:name w:val="Hyperlink"/>
    <w:uiPriority w:val="99"/>
    <w:rsid w:val="0049577C"/>
    <w:rPr>
      <w:rFonts w:cs="Times New Roman"/>
      <w:color w:val="0000FF"/>
      <w:u w:val="single"/>
    </w:rPr>
  </w:style>
  <w:style w:type="paragraph" w:customStyle="1" w:styleId="StyleZakonu">
    <w:name w:val="StyleZakonu"/>
    <w:basedOn w:val="a"/>
    <w:link w:val="StyleZakonu0"/>
    <w:uiPriority w:val="99"/>
    <w:rsid w:val="00D26386"/>
    <w:pPr>
      <w:spacing w:after="60" w:line="220" w:lineRule="exact"/>
      <w:ind w:firstLine="284"/>
      <w:jc w:val="both"/>
    </w:pPr>
    <w:rPr>
      <w:sz w:val="20"/>
      <w:szCs w:val="20"/>
      <w:lang w:val="uk-UA" w:eastAsia="ru-RU"/>
    </w:rPr>
  </w:style>
  <w:style w:type="character" w:customStyle="1" w:styleId="StyleZakonu0">
    <w:name w:val="StyleZakonu Знак"/>
    <w:link w:val="StyleZakonu"/>
    <w:uiPriority w:val="99"/>
    <w:locked/>
    <w:rsid w:val="00D26386"/>
    <w:rPr>
      <w:lang w:val="uk-UA" w:eastAsia="ru-RU"/>
    </w:rPr>
  </w:style>
  <w:style w:type="paragraph" w:styleId="a8">
    <w:name w:val="Body Text"/>
    <w:basedOn w:val="a"/>
    <w:link w:val="a9"/>
    <w:uiPriority w:val="99"/>
    <w:rsid w:val="002B2F27"/>
    <w:pPr>
      <w:spacing w:after="120"/>
    </w:pPr>
    <w:rPr>
      <w:sz w:val="20"/>
      <w:szCs w:val="20"/>
    </w:rPr>
  </w:style>
  <w:style w:type="character" w:customStyle="1" w:styleId="a9">
    <w:name w:val="Основной текст Знак"/>
    <w:link w:val="a8"/>
    <w:uiPriority w:val="99"/>
    <w:semiHidden/>
    <w:locked/>
    <w:rsid w:val="00A3185A"/>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6318">
      <w:marLeft w:val="0"/>
      <w:marRight w:val="0"/>
      <w:marTop w:val="0"/>
      <w:marBottom w:val="0"/>
      <w:divBdr>
        <w:top w:val="none" w:sz="0" w:space="0" w:color="auto"/>
        <w:left w:val="none" w:sz="0" w:space="0" w:color="auto"/>
        <w:bottom w:val="none" w:sz="0" w:space="0" w:color="auto"/>
        <w:right w:val="none" w:sz="0" w:space="0" w:color="auto"/>
      </w:divBdr>
    </w:div>
    <w:div w:id="91516319">
      <w:marLeft w:val="0"/>
      <w:marRight w:val="0"/>
      <w:marTop w:val="0"/>
      <w:marBottom w:val="0"/>
      <w:divBdr>
        <w:top w:val="none" w:sz="0" w:space="0" w:color="auto"/>
        <w:left w:val="none" w:sz="0" w:space="0" w:color="auto"/>
        <w:bottom w:val="none" w:sz="0" w:space="0" w:color="auto"/>
        <w:right w:val="none" w:sz="0" w:space="0" w:color="auto"/>
      </w:divBdr>
    </w:div>
    <w:div w:id="91516320">
      <w:marLeft w:val="0"/>
      <w:marRight w:val="0"/>
      <w:marTop w:val="0"/>
      <w:marBottom w:val="0"/>
      <w:divBdr>
        <w:top w:val="none" w:sz="0" w:space="0" w:color="auto"/>
        <w:left w:val="none" w:sz="0" w:space="0" w:color="auto"/>
        <w:bottom w:val="none" w:sz="0" w:space="0" w:color="auto"/>
        <w:right w:val="none" w:sz="0" w:space="0" w:color="auto"/>
      </w:divBdr>
    </w:div>
    <w:div w:id="91516321">
      <w:marLeft w:val="0"/>
      <w:marRight w:val="0"/>
      <w:marTop w:val="0"/>
      <w:marBottom w:val="0"/>
      <w:divBdr>
        <w:top w:val="none" w:sz="0" w:space="0" w:color="auto"/>
        <w:left w:val="none" w:sz="0" w:space="0" w:color="auto"/>
        <w:bottom w:val="none" w:sz="0" w:space="0" w:color="auto"/>
        <w:right w:val="none" w:sz="0" w:space="0" w:color="auto"/>
      </w:divBdr>
    </w:div>
    <w:div w:id="91516322">
      <w:marLeft w:val="0"/>
      <w:marRight w:val="0"/>
      <w:marTop w:val="0"/>
      <w:marBottom w:val="0"/>
      <w:divBdr>
        <w:top w:val="none" w:sz="0" w:space="0" w:color="auto"/>
        <w:left w:val="none" w:sz="0" w:space="0" w:color="auto"/>
        <w:bottom w:val="none" w:sz="0" w:space="0" w:color="auto"/>
        <w:right w:val="none" w:sz="0" w:space="0" w:color="auto"/>
      </w:divBdr>
    </w:div>
    <w:div w:id="91516323">
      <w:marLeft w:val="0"/>
      <w:marRight w:val="0"/>
      <w:marTop w:val="0"/>
      <w:marBottom w:val="0"/>
      <w:divBdr>
        <w:top w:val="none" w:sz="0" w:space="0" w:color="auto"/>
        <w:left w:val="none" w:sz="0" w:space="0" w:color="auto"/>
        <w:bottom w:val="none" w:sz="0" w:space="0" w:color="auto"/>
        <w:right w:val="none" w:sz="0" w:space="0" w:color="auto"/>
      </w:divBdr>
    </w:div>
    <w:div w:id="91516324">
      <w:marLeft w:val="0"/>
      <w:marRight w:val="0"/>
      <w:marTop w:val="0"/>
      <w:marBottom w:val="0"/>
      <w:divBdr>
        <w:top w:val="none" w:sz="0" w:space="0" w:color="auto"/>
        <w:left w:val="none" w:sz="0" w:space="0" w:color="auto"/>
        <w:bottom w:val="none" w:sz="0" w:space="0" w:color="auto"/>
        <w:right w:val="none" w:sz="0" w:space="0" w:color="auto"/>
      </w:divBdr>
    </w:div>
    <w:div w:id="91516325">
      <w:marLeft w:val="0"/>
      <w:marRight w:val="0"/>
      <w:marTop w:val="0"/>
      <w:marBottom w:val="0"/>
      <w:divBdr>
        <w:top w:val="none" w:sz="0" w:space="0" w:color="auto"/>
        <w:left w:val="none" w:sz="0" w:space="0" w:color="auto"/>
        <w:bottom w:val="none" w:sz="0" w:space="0" w:color="auto"/>
        <w:right w:val="none" w:sz="0" w:space="0" w:color="auto"/>
      </w:divBdr>
    </w:div>
    <w:div w:id="91516326">
      <w:marLeft w:val="0"/>
      <w:marRight w:val="0"/>
      <w:marTop w:val="0"/>
      <w:marBottom w:val="0"/>
      <w:divBdr>
        <w:top w:val="none" w:sz="0" w:space="0" w:color="auto"/>
        <w:left w:val="none" w:sz="0" w:space="0" w:color="auto"/>
        <w:bottom w:val="none" w:sz="0" w:space="0" w:color="auto"/>
        <w:right w:val="none" w:sz="0" w:space="0" w:color="auto"/>
      </w:divBdr>
    </w:div>
    <w:div w:id="91516327">
      <w:marLeft w:val="0"/>
      <w:marRight w:val="0"/>
      <w:marTop w:val="0"/>
      <w:marBottom w:val="0"/>
      <w:divBdr>
        <w:top w:val="none" w:sz="0" w:space="0" w:color="auto"/>
        <w:left w:val="none" w:sz="0" w:space="0" w:color="auto"/>
        <w:bottom w:val="none" w:sz="0" w:space="0" w:color="auto"/>
        <w:right w:val="none" w:sz="0" w:space="0" w:color="auto"/>
      </w:divBdr>
    </w:div>
    <w:div w:id="91516328">
      <w:marLeft w:val="0"/>
      <w:marRight w:val="0"/>
      <w:marTop w:val="0"/>
      <w:marBottom w:val="0"/>
      <w:divBdr>
        <w:top w:val="none" w:sz="0" w:space="0" w:color="auto"/>
        <w:left w:val="none" w:sz="0" w:space="0" w:color="auto"/>
        <w:bottom w:val="none" w:sz="0" w:space="0" w:color="auto"/>
        <w:right w:val="none" w:sz="0" w:space="0" w:color="auto"/>
      </w:divBdr>
    </w:div>
    <w:div w:id="91516329">
      <w:marLeft w:val="0"/>
      <w:marRight w:val="0"/>
      <w:marTop w:val="0"/>
      <w:marBottom w:val="0"/>
      <w:divBdr>
        <w:top w:val="none" w:sz="0" w:space="0" w:color="auto"/>
        <w:left w:val="none" w:sz="0" w:space="0" w:color="auto"/>
        <w:bottom w:val="none" w:sz="0" w:space="0" w:color="auto"/>
        <w:right w:val="none" w:sz="0" w:space="0" w:color="auto"/>
      </w:divBdr>
    </w:div>
    <w:div w:id="91516330">
      <w:marLeft w:val="0"/>
      <w:marRight w:val="0"/>
      <w:marTop w:val="0"/>
      <w:marBottom w:val="0"/>
      <w:divBdr>
        <w:top w:val="none" w:sz="0" w:space="0" w:color="auto"/>
        <w:left w:val="none" w:sz="0" w:space="0" w:color="auto"/>
        <w:bottom w:val="none" w:sz="0" w:space="0" w:color="auto"/>
        <w:right w:val="none" w:sz="0" w:space="0" w:color="auto"/>
      </w:divBdr>
    </w:div>
    <w:div w:id="91516331">
      <w:marLeft w:val="0"/>
      <w:marRight w:val="0"/>
      <w:marTop w:val="0"/>
      <w:marBottom w:val="0"/>
      <w:divBdr>
        <w:top w:val="none" w:sz="0" w:space="0" w:color="auto"/>
        <w:left w:val="none" w:sz="0" w:space="0" w:color="auto"/>
        <w:bottom w:val="none" w:sz="0" w:space="0" w:color="auto"/>
        <w:right w:val="none" w:sz="0" w:space="0" w:color="auto"/>
      </w:divBdr>
    </w:div>
    <w:div w:id="91516332">
      <w:marLeft w:val="0"/>
      <w:marRight w:val="0"/>
      <w:marTop w:val="0"/>
      <w:marBottom w:val="0"/>
      <w:divBdr>
        <w:top w:val="none" w:sz="0" w:space="0" w:color="auto"/>
        <w:left w:val="none" w:sz="0" w:space="0" w:color="auto"/>
        <w:bottom w:val="none" w:sz="0" w:space="0" w:color="auto"/>
        <w:right w:val="none" w:sz="0" w:space="0" w:color="auto"/>
      </w:divBdr>
    </w:div>
    <w:div w:id="91516333">
      <w:marLeft w:val="0"/>
      <w:marRight w:val="0"/>
      <w:marTop w:val="0"/>
      <w:marBottom w:val="0"/>
      <w:divBdr>
        <w:top w:val="none" w:sz="0" w:space="0" w:color="auto"/>
        <w:left w:val="none" w:sz="0" w:space="0" w:color="auto"/>
        <w:bottom w:val="none" w:sz="0" w:space="0" w:color="auto"/>
        <w:right w:val="none" w:sz="0" w:space="0" w:color="auto"/>
      </w:divBdr>
    </w:div>
    <w:div w:id="91516334">
      <w:marLeft w:val="0"/>
      <w:marRight w:val="0"/>
      <w:marTop w:val="0"/>
      <w:marBottom w:val="0"/>
      <w:divBdr>
        <w:top w:val="none" w:sz="0" w:space="0" w:color="auto"/>
        <w:left w:val="none" w:sz="0" w:space="0" w:color="auto"/>
        <w:bottom w:val="none" w:sz="0" w:space="0" w:color="auto"/>
        <w:right w:val="none" w:sz="0" w:space="0" w:color="auto"/>
      </w:divBdr>
    </w:div>
    <w:div w:id="91516335">
      <w:marLeft w:val="0"/>
      <w:marRight w:val="0"/>
      <w:marTop w:val="0"/>
      <w:marBottom w:val="0"/>
      <w:divBdr>
        <w:top w:val="none" w:sz="0" w:space="0" w:color="auto"/>
        <w:left w:val="none" w:sz="0" w:space="0" w:color="auto"/>
        <w:bottom w:val="none" w:sz="0" w:space="0" w:color="auto"/>
        <w:right w:val="none" w:sz="0" w:space="0" w:color="auto"/>
      </w:divBdr>
    </w:div>
    <w:div w:id="91516336">
      <w:marLeft w:val="0"/>
      <w:marRight w:val="0"/>
      <w:marTop w:val="0"/>
      <w:marBottom w:val="0"/>
      <w:divBdr>
        <w:top w:val="none" w:sz="0" w:space="0" w:color="auto"/>
        <w:left w:val="none" w:sz="0" w:space="0" w:color="auto"/>
        <w:bottom w:val="none" w:sz="0" w:space="0" w:color="auto"/>
        <w:right w:val="none" w:sz="0" w:space="0" w:color="auto"/>
      </w:divBdr>
    </w:div>
    <w:div w:id="91516337">
      <w:marLeft w:val="0"/>
      <w:marRight w:val="0"/>
      <w:marTop w:val="0"/>
      <w:marBottom w:val="0"/>
      <w:divBdr>
        <w:top w:val="none" w:sz="0" w:space="0" w:color="auto"/>
        <w:left w:val="none" w:sz="0" w:space="0" w:color="auto"/>
        <w:bottom w:val="none" w:sz="0" w:space="0" w:color="auto"/>
        <w:right w:val="none" w:sz="0" w:space="0" w:color="auto"/>
      </w:divBdr>
    </w:div>
    <w:div w:id="91516338">
      <w:marLeft w:val="0"/>
      <w:marRight w:val="0"/>
      <w:marTop w:val="0"/>
      <w:marBottom w:val="0"/>
      <w:divBdr>
        <w:top w:val="none" w:sz="0" w:space="0" w:color="auto"/>
        <w:left w:val="none" w:sz="0" w:space="0" w:color="auto"/>
        <w:bottom w:val="none" w:sz="0" w:space="0" w:color="auto"/>
        <w:right w:val="none" w:sz="0" w:space="0" w:color="auto"/>
      </w:divBdr>
    </w:div>
    <w:div w:id="91516339">
      <w:marLeft w:val="0"/>
      <w:marRight w:val="0"/>
      <w:marTop w:val="0"/>
      <w:marBottom w:val="0"/>
      <w:divBdr>
        <w:top w:val="none" w:sz="0" w:space="0" w:color="auto"/>
        <w:left w:val="none" w:sz="0" w:space="0" w:color="auto"/>
        <w:bottom w:val="none" w:sz="0" w:space="0" w:color="auto"/>
        <w:right w:val="none" w:sz="0" w:space="0" w:color="auto"/>
      </w:divBdr>
    </w:div>
    <w:div w:id="91516340">
      <w:marLeft w:val="0"/>
      <w:marRight w:val="0"/>
      <w:marTop w:val="0"/>
      <w:marBottom w:val="0"/>
      <w:divBdr>
        <w:top w:val="none" w:sz="0" w:space="0" w:color="auto"/>
        <w:left w:val="none" w:sz="0" w:space="0" w:color="auto"/>
        <w:bottom w:val="none" w:sz="0" w:space="0" w:color="auto"/>
        <w:right w:val="none" w:sz="0" w:space="0" w:color="auto"/>
      </w:divBdr>
    </w:div>
    <w:div w:id="91516341">
      <w:marLeft w:val="0"/>
      <w:marRight w:val="0"/>
      <w:marTop w:val="0"/>
      <w:marBottom w:val="0"/>
      <w:divBdr>
        <w:top w:val="none" w:sz="0" w:space="0" w:color="auto"/>
        <w:left w:val="none" w:sz="0" w:space="0" w:color="auto"/>
        <w:bottom w:val="none" w:sz="0" w:space="0" w:color="auto"/>
        <w:right w:val="none" w:sz="0" w:space="0" w:color="auto"/>
      </w:divBdr>
    </w:div>
    <w:div w:id="91516342">
      <w:marLeft w:val="0"/>
      <w:marRight w:val="0"/>
      <w:marTop w:val="0"/>
      <w:marBottom w:val="0"/>
      <w:divBdr>
        <w:top w:val="none" w:sz="0" w:space="0" w:color="auto"/>
        <w:left w:val="none" w:sz="0" w:space="0" w:color="auto"/>
        <w:bottom w:val="none" w:sz="0" w:space="0" w:color="auto"/>
        <w:right w:val="none" w:sz="0" w:space="0" w:color="auto"/>
      </w:divBdr>
    </w:div>
    <w:div w:id="91516343">
      <w:marLeft w:val="0"/>
      <w:marRight w:val="0"/>
      <w:marTop w:val="0"/>
      <w:marBottom w:val="0"/>
      <w:divBdr>
        <w:top w:val="none" w:sz="0" w:space="0" w:color="auto"/>
        <w:left w:val="none" w:sz="0" w:space="0" w:color="auto"/>
        <w:bottom w:val="none" w:sz="0" w:space="0" w:color="auto"/>
        <w:right w:val="none" w:sz="0" w:space="0" w:color="auto"/>
      </w:divBdr>
    </w:div>
    <w:div w:id="99303610">
      <w:bodyDiv w:val="1"/>
      <w:marLeft w:val="0"/>
      <w:marRight w:val="0"/>
      <w:marTop w:val="0"/>
      <w:marBottom w:val="0"/>
      <w:divBdr>
        <w:top w:val="none" w:sz="0" w:space="0" w:color="auto"/>
        <w:left w:val="none" w:sz="0" w:space="0" w:color="auto"/>
        <w:bottom w:val="none" w:sz="0" w:space="0" w:color="auto"/>
        <w:right w:val="none" w:sz="0" w:space="0" w:color="auto"/>
      </w:divBdr>
    </w:div>
    <w:div w:id="296683398">
      <w:bodyDiv w:val="1"/>
      <w:marLeft w:val="0"/>
      <w:marRight w:val="0"/>
      <w:marTop w:val="0"/>
      <w:marBottom w:val="0"/>
      <w:divBdr>
        <w:top w:val="none" w:sz="0" w:space="0" w:color="auto"/>
        <w:left w:val="none" w:sz="0" w:space="0" w:color="auto"/>
        <w:bottom w:val="none" w:sz="0" w:space="0" w:color="auto"/>
        <w:right w:val="none" w:sz="0" w:space="0" w:color="auto"/>
      </w:divBdr>
    </w:div>
    <w:div w:id="11367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18</Pages>
  <Words>6312</Words>
  <Characters>35982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PetrenkoAV</dc:creator>
  <cp:lastModifiedBy>Пользователь Windows</cp:lastModifiedBy>
  <cp:revision>13</cp:revision>
  <cp:lastPrinted>2021-08-31T10:21:00Z</cp:lastPrinted>
  <dcterms:created xsi:type="dcterms:W3CDTF">2019-12-04T06:15:00Z</dcterms:created>
  <dcterms:modified xsi:type="dcterms:W3CDTF">2021-09-09T08:26:00Z</dcterms:modified>
</cp:coreProperties>
</file>